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053" w:rsidRDefault="00303B40">
      <w:pPr>
        <w:spacing w:line="400" w:lineRule="atLeast"/>
        <w:rPr>
          <w:rFonts w:ascii="宋体" w:hAnsi="宋体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Annex 1 </w:t>
      </w:r>
    </w:p>
    <w:p w:rsidR="00790053" w:rsidRDefault="00303B40">
      <w:pPr>
        <w:spacing w:afterLines="50" w:after="156" w:line="0" w:lineRule="atLeast"/>
        <w:jc w:val="center"/>
        <w:rPr>
          <w:rFonts w:ascii="宋体" w:hAnsi="宋体"/>
          <w:sz w:val="36"/>
          <w:szCs w:val="36"/>
        </w:rPr>
      </w:pPr>
      <w:bookmarkStart w:id="0" w:name="_GoBack"/>
      <w:r>
        <w:rPr>
          <w:rFonts w:ascii="Times New Roman" w:hAnsi="Times New Roman"/>
          <w:sz w:val="36"/>
          <w:szCs w:val="36"/>
        </w:rPr>
        <w:t xml:space="preserve">Contrast and Interpretation Table of Traditional </w:t>
      </w:r>
      <w:r>
        <w:rPr>
          <w:rFonts w:ascii="Times New Roman" w:hAnsi="Times New Roman" w:hint="eastAsia"/>
          <w:sz w:val="36"/>
          <w:szCs w:val="36"/>
        </w:rPr>
        <w:t>Dumpers</w:t>
      </w:r>
      <w:r>
        <w:rPr>
          <w:rFonts w:ascii="Times New Roman" w:hAnsi="Times New Roman"/>
          <w:sz w:val="36"/>
          <w:szCs w:val="36"/>
        </w:rPr>
        <w:t xml:space="preserve"> in Shenzhen </w:t>
      </w: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5940"/>
        <w:gridCol w:w="2482"/>
      </w:tblGrid>
      <w:tr w:rsidR="00790053">
        <w:trPr>
          <w:trHeight w:val="284"/>
          <w:jc w:val="center"/>
        </w:trPr>
        <w:tc>
          <w:tcPr>
            <w:tcW w:w="603" w:type="dxa"/>
            <w:vAlign w:val="center"/>
          </w:tcPr>
          <w:bookmarkEnd w:id="0"/>
          <w:p w:rsidR="00790053" w:rsidRDefault="00303B40">
            <w:pPr>
              <w:spacing w:line="280" w:lineRule="exact"/>
              <w:ind w:leftChars="-20" w:left="-42" w:rightChars="-20" w:right="-42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Subsidized model </w:t>
            </w:r>
          </w:p>
        </w:tc>
        <w:tc>
          <w:tcPr>
            <w:tcW w:w="5940" w:type="dxa"/>
            <w:vAlign w:val="center"/>
          </w:tcPr>
          <w:p w:rsidR="00790053" w:rsidRDefault="00303B40">
            <w:pPr>
              <w:spacing w:line="280" w:lineRule="exact"/>
              <w:ind w:leftChars="-20" w:left="-42" w:rightChars="-20" w:right="-42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Interpretation [known as] </w:t>
            </w:r>
          </w:p>
        </w:tc>
        <w:tc>
          <w:tcPr>
            <w:tcW w:w="2482" w:type="dxa"/>
            <w:vAlign w:val="center"/>
          </w:tcPr>
          <w:p w:rsidR="00790053" w:rsidRDefault="00303B40">
            <w:pPr>
              <w:spacing w:line="280" w:lineRule="exact"/>
              <w:ind w:leftChars="-20" w:left="-42" w:rightChars="-20" w:right="-42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Electronic data of vehicle type registered by public security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and </w:t>
            </w:r>
            <w:r>
              <w:rPr>
                <w:rFonts w:ascii="Times New Roman" w:hAnsi="Times New Roman"/>
                <w:color w:val="000000"/>
                <w:szCs w:val="21"/>
              </w:rPr>
              <w:t>traffic control department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s </w:t>
            </w:r>
          </w:p>
        </w:tc>
      </w:tr>
      <w:tr w:rsidR="00790053">
        <w:trPr>
          <w:trHeight w:val="284"/>
          <w:jc w:val="center"/>
        </w:trPr>
        <w:tc>
          <w:tcPr>
            <w:tcW w:w="603" w:type="dxa"/>
            <w:vAlign w:val="center"/>
          </w:tcPr>
          <w:p w:rsidR="00790053" w:rsidRDefault="00303B40">
            <w:pPr>
              <w:spacing w:line="300" w:lineRule="exact"/>
              <w:ind w:leftChars="-20" w:left="-42" w:rightChars="-20" w:right="-42"/>
              <w:jc w:val="center"/>
              <w:rPr>
                <w:rFonts w:ascii="宋体" w:hAnsi="宋体"/>
                <w:color w:val="000000"/>
                <w:kern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21"/>
                <w:szCs w:val="21"/>
              </w:rPr>
              <w:t xml:space="preserve">Tri-axle </w:t>
            </w:r>
          </w:p>
        </w:tc>
        <w:tc>
          <w:tcPr>
            <w:tcW w:w="5940" w:type="dxa"/>
            <w:vAlign w:val="center"/>
          </w:tcPr>
          <w:p w:rsidR="00790053" w:rsidRDefault="00303B40">
            <w:pPr>
              <w:autoSpaceDN w:val="0"/>
              <w:spacing w:line="300" w:lineRule="exact"/>
              <w:ind w:leftChars="-20" w:left="-42" w:rightChars="-20" w:right="-42"/>
              <w:textAlignment w:val="center"/>
              <w:rPr>
                <w:rFonts w:ascii="宋体" w:hAnsi="宋体"/>
                <w:color w:val="000000"/>
                <w:kern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21"/>
                <w:szCs w:val="21"/>
              </w:rPr>
              <w:t xml:space="preserve">Refers to heavy-duty dumpers using three axles to transmit driving force from the engine to the drive wheels, commonly known as </w:t>
            </w:r>
            <w:r>
              <w:rPr>
                <w:rFonts w:ascii="Times New Roman" w:hAnsi="Times New Roman"/>
                <w:color w:val="000000"/>
                <w:kern w:val="21"/>
                <w:szCs w:val="21"/>
              </w:rPr>
              <w:t>“</w:t>
            </w:r>
            <w:r>
              <w:rPr>
                <w:rFonts w:ascii="Times New Roman" w:hAnsi="Times New Roman" w:hint="eastAsia"/>
                <w:color w:val="000000"/>
                <w:kern w:val="21"/>
                <w:szCs w:val="21"/>
              </w:rPr>
              <w:t xml:space="preserve">front two rear eight" in the industry, with a general mass range of 18,000 KG to 25,000 KG </w:t>
            </w:r>
          </w:p>
        </w:tc>
        <w:tc>
          <w:tcPr>
            <w:tcW w:w="2482" w:type="dxa"/>
            <w:vAlign w:val="center"/>
          </w:tcPr>
          <w:p w:rsidR="00790053" w:rsidRDefault="00303B40">
            <w:pPr>
              <w:autoSpaceDN w:val="0"/>
              <w:spacing w:line="300" w:lineRule="exact"/>
              <w:ind w:leftChars="-20" w:left="-42" w:rightChars="-20" w:right="-42"/>
              <w:textAlignment w:val="center"/>
              <w:rPr>
                <w:rFonts w:ascii="宋体" w:hAnsi="宋体"/>
                <w:color w:val="000000"/>
                <w:kern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21"/>
                <w:szCs w:val="21"/>
              </w:rPr>
              <w:t xml:space="preserve">Heavy-duty dumper, total mass range: 18t &lt; total mass </w:t>
            </w:r>
            <w:r>
              <w:rPr>
                <w:rFonts w:ascii="Times New Roman" w:hAnsi="Times New Roman" w:hint="eastAsia"/>
                <w:color w:val="000000"/>
                <w:kern w:val="21"/>
                <w:szCs w:val="21"/>
              </w:rPr>
              <w:t>≤</w:t>
            </w:r>
            <w:r>
              <w:rPr>
                <w:rFonts w:ascii="Times New Roman" w:hAnsi="Times New Roman" w:hint="eastAsia"/>
                <w:color w:val="000000"/>
                <w:kern w:val="21"/>
                <w:szCs w:val="21"/>
              </w:rPr>
              <w:t xml:space="preserve"> 25 t </w:t>
            </w:r>
          </w:p>
        </w:tc>
      </w:tr>
      <w:tr w:rsidR="00790053">
        <w:trPr>
          <w:trHeight w:val="284"/>
          <w:jc w:val="center"/>
        </w:trPr>
        <w:tc>
          <w:tcPr>
            <w:tcW w:w="603" w:type="dxa"/>
            <w:vAlign w:val="center"/>
          </w:tcPr>
          <w:p w:rsidR="00790053" w:rsidRDefault="00303B40">
            <w:pPr>
              <w:spacing w:line="300" w:lineRule="exact"/>
              <w:ind w:leftChars="-20" w:left="-42" w:rightChars="-20" w:right="-42"/>
              <w:jc w:val="center"/>
              <w:rPr>
                <w:rFonts w:ascii="宋体" w:hAnsi="宋体"/>
                <w:color w:val="000000"/>
                <w:kern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21"/>
                <w:szCs w:val="21"/>
              </w:rPr>
              <w:t xml:space="preserve">Four axles </w:t>
            </w:r>
          </w:p>
        </w:tc>
        <w:tc>
          <w:tcPr>
            <w:tcW w:w="5940" w:type="dxa"/>
            <w:vAlign w:val="center"/>
          </w:tcPr>
          <w:p w:rsidR="00790053" w:rsidRDefault="00303B40">
            <w:pPr>
              <w:autoSpaceDN w:val="0"/>
              <w:spacing w:line="300" w:lineRule="exact"/>
              <w:ind w:leftChars="-20" w:left="-42" w:rightChars="-20" w:right="-42"/>
              <w:textAlignment w:val="center"/>
              <w:rPr>
                <w:rFonts w:ascii="宋体" w:hAnsi="宋体"/>
                <w:color w:val="000000"/>
                <w:kern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21"/>
                <w:szCs w:val="21"/>
              </w:rPr>
              <w:t>Refers to heavy-duty dumpers using three axles to transmit driving force from the engine to the drive wheels, commonly known as " front four rear eight" in the industry, with a gene</w:t>
            </w:r>
            <w:r>
              <w:rPr>
                <w:rFonts w:ascii="Times New Roman" w:hAnsi="Times New Roman" w:hint="eastAsia"/>
                <w:color w:val="000000"/>
                <w:kern w:val="21"/>
                <w:szCs w:val="21"/>
              </w:rPr>
              <w:t xml:space="preserve">ral mass range of 25,000 KG to 31,000 KG </w:t>
            </w:r>
          </w:p>
        </w:tc>
        <w:tc>
          <w:tcPr>
            <w:tcW w:w="2482" w:type="dxa"/>
            <w:vAlign w:val="center"/>
          </w:tcPr>
          <w:p w:rsidR="00790053" w:rsidRDefault="00303B40">
            <w:pPr>
              <w:autoSpaceDN w:val="0"/>
              <w:spacing w:line="300" w:lineRule="exact"/>
              <w:ind w:leftChars="-20" w:left="-42" w:rightChars="-20" w:right="-42"/>
              <w:textAlignment w:val="center"/>
              <w:rPr>
                <w:rFonts w:ascii="宋体" w:hAnsi="宋体"/>
                <w:color w:val="000000"/>
                <w:kern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21"/>
                <w:szCs w:val="21"/>
              </w:rPr>
              <w:t xml:space="preserve">Heavy-duty dumper, total mass range: 25t &lt; total mass </w:t>
            </w:r>
            <w:r>
              <w:rPr>
                <w:rFonts w:ascii="Times New Roman" w:hAnsi="Times New Roman" w:hint="eastAsia"/>
                <w:color w:val="000000"/>
                <w:kern w:val="21"/>
                <w:szCs w:val="21"/>
              </w:rPr>
              <w:t>≤</w:t>
            </w:r>
            <w:r>
              <w:rPr>
                <w:rFonts w:ascii="Times New Roman" w:hAnsi="Times New Roman" w:hint="eastAsia"/>
                <w:color w:val="000000"/>
                <w:kern w:val="21"/>
                <w:szCs w:val="21"/>
              </w:rPr>
              <w:t xml:space="preserve"> 31 t </w:t>
            </w:r>
          </w:p>
        </w:tc>
      </w:tr>
      <w:tr w:rsidR="00790053">
        <w:trPr>
          <w:trHeight w:val="284"/>
          <w:jc w:val="center"/>
        </w:trPr>
        <w:tc>
          <w:tcPr>
            <w:tcW w:w="603" w:type="dxa"/>
            <w:vAlign w:val="center"/>
          </w:tcPr>
          <w:p w:rsidR="00790053" w:rsidRDefault="00303B40">
            <w:pPr>
              <w:spacing w:line="300" w:lineRule="exact"/>
              <w:ind w:leftChars="-20" w:left="-42" w:rightChars="-20" w:right="-4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Six-axle train </w:t>
            </w:r>
          </w:p>
        </w:tc>
        <w:tc>
          <w:tcPr>
            <w:tcW w:w="5940" w:type="dxa"/>
            <w:vAlign w:val="center"/>
          </w:tcPr>
          <w:p w:rsidR="00790053" w:rsidRDefault="00303B40">
            <w:pPr>
              <w:autoSpaceDN w:val="0"/>
              <w:spacing w:line="300" w:lineRule="exact"/>
              <w:ind w:leftChars="-20" w:left="-42" w:rightChars="-20" w:right="-42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Refers to heavy-duty semi-trailer tractors and </w:t>
            </w:r>
            <w:r>
              <w:rPr>
                <w:rFonts w:ascii="Times New Roman" w:hAnsi="Times New Roman" w:hint="eastAsia"/>
                <w:color w:val="000000"/>
                <w:kern w:val="21"/>
                <w:szCs w:val="21"/>
              </w:rPr>
              <w:t>heavy-duty</w:t>
            </w:r>
            <w:r>
              <w:rPr>
                <w:rFonts w:ascii="Times New Roman" w:hAnsi="Times New Roman"/>
                <w:color w:val="000000"/>
                <w:kern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21"/>
                <w:szCs w:val="21"/>
              </w:rPr>
              <w:t>tipping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semi-trailers with 6 axles, and the tractor has three axles or more </w:t>
            </w:r>
          </w:p>
        </w:tc>
        <w:tc>
          <w:tcPr>
            <w:tcW w:w="2482" w:type="dxa"/>
            <w:vAlign w:val="center"/>
          </w:tcPr>
          <w:p w:rsidR="00790053" w:rsidRDefault="00303B40">
            <w:pPr>
              <w:autoSpaceDN w:val="0"/>
              <w:spacing w:line="300" w:lineRule="exact"/>
              <w:ind w:leftChars="-20" w:left="-42" w:rightChars="-20" w:right="-42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21"/>
                <w:szCs w:val="21"/>
              </w:rPr>
              <w:t>Heavy-duty</w:t>
            </w:r>
            <w:r>
              <w:rPr>
                <w:rFonts w:ascii="Times New Roman" w:hAnsi="Times New Roman"/>
                <w:color w:val="000000"/>
                <w:kern w:val="21"/>
                <w:szCs w:val="21"/>
              </w:rPr>
              <w:t xml:space="preserve"> semi-trailer </w:t>
            </w:r>
            <w:r>
              <w:rPr>
                <w:rFonts w:ascii="Times New Roman" w:hAnsi="Times New Roman" w:hint="eastAsia"/>
                <w:color w:val="000000"/>
                <w:kern w:val="21"/>
                <w:szCs w:val="21"/>
              </w:rPr>
              <w:t>tractor,  heavy-duty</w:t>
            </w:r>
            <w:r>
              <w:rPr>
                <w:rFonts w:ascii="Times New Roman" w:hAnsi="Times New Roman"/>
                <w:color w:val="000000"/>
                <w:kern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21"/>
                <w:szCs w:val="21"/>
              </w:rPr>
              <w:t xml:space="preserve">tipping </w:t>
            </w:r>
            <w:r>
              <w:rPr>
                <w:rFonts w:ascii="Times New Roman" w:hAnsi="Times New Roman"/>
                <w:color w:val="000000"/>
                <w:kern w:val="21"/>
                <w:szCs w:val="21"/>
              </w:rPr>
              <w:t>semi</w:t>
            </w:r>
            <w:r>
              <w:rPr>
                <w:rFonts w:ascii="Times New Roman" w:hAnsi="Times New Roman" w:hint="eastAsia"/>
                <w:color w:val="000000"/>
                <w:kern w:val="21"/>
                <w:szCs w:val="21"/>
              </w:rPr>
              <w:t>-</w:t>
            </w:r>
            <w:r>
              <w:rPr>
                <w:rFonts w:ascii="Times New Roman" w:hAnsi="Times New Roman"/>
                <w:color w:val="000000"/>
                <w:kern w:val="21"/>
                <w:szCs w:val="21"/>
              </w:rPr>
              <w:t>trailer</w:t>
            </w:r>
          </w:p>
        </w:tc>
      </w:tr>
    </w:tbl>
    <w:p w:rsidR="00790053" w:rsidRDefault="00790053"/>
    <w:sectPr w:rsidR="00790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B40" w:rsidRDefault="00303B40" w:rsidP="000C737C">
      <w:r>
        <w:separator/>
      </w:r>
    </w:p>
  </w:endnote>
  <w:endnote w:type="continuationSeparator" w:id="0">
    <w:p w:rsidR="00303B40" w:rsidRDefault="00303B40" w:rsidP="000C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B40" w:rsidRDefault="00303B40" w:rsidP="000C737C">
      <w:r>
        <w:separator/>
      </w:r>
    </w:p>
  </w:footnote>
  <w:footnote w:type="continuationSeparator" w:id="0">
    <w:p w:rsidR="00303B40" w:rsidRDefault="00303B40" w:rsidP="000C7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zszQxtDQ2NDEAAiUdpeDU4uLM/DyQAsNaAIRtVucsAAAA"/>
  </w:docVars>
  <w:rsids>
    <w:rsidRoot w:val="645A43DA"/>
    <w:rsid w:val="000C737C"/>
    <w:rsid w:val="000F6BD1"/>
    <w:rsid w:val="001332CF"/>
    <w:rsid w:val="00303B40"/>
    <w:rsid w:val="00513CAF"/>
    <w:rsid w:val="00790053"/>
    <w:rsid w:val="00954391"/>
    <w:rsid w:val="00B015B5"/>
    <w:rsid w:val="00BE6D80"/>
    <w:rsid w:val="00C858FD"/>
    <w:rsid w:val="00D0207D"/>
    <w:rsid w:val="00E32826"/>
    <w:rsid w:val="00E526E2"/>
    <w:rsid w:val="07B97BA7"/>
    <w:rsid w:val="645A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221E293-619E-4E28-A15A-696B055C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琉璃</dc:creator>
  <cp:lastModifiedBy>陈辉</cp:lastModifiedBy>
  <cp:revision>2</cp:revision>
  <dcterms:created xsi:type="dcterms:W3CDTF">2019-11-19T06:57:00Z</dcterms:created>
  <dcterms:modified xsi:type="dcterms:W3CDTF">2019-11-19T06:57:00Z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