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A4" w:rsidRDefault="00F428A4" w:rsidP="00F428A4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F428A4" w:rsidRPr="009800A9" w:rsidRDefault="00F428A4" w:rsidP="00F428A4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Cs/>
          <w:kern w:val="0"/>
          <w:sz w:val="44"/>
          <w:szCs w:val="44"/>
        </w:rPr>
        <w:t>11</w:t>
      </w:r>
      <w:r w:rsidRPr="009800A9">
        <w:rPr>
          <w:rFonts w:ascii="宋体" w:hAnsi="宋体"/>
          <w:bCs/>
          <w:kern w:val="0"/>
          <w:sz w:val="44"/>
          <w:szCs w:val="44"/>
        </w:rPr>
        <w:t>月份公交企业</w:t>
      </w:r>
      <w:r w:rsidRPr="009800A9">
        <w:rPr>
          <w:rFonts w:ascii="宋体" w:hAnsi="宋体" w:hint="eastAsia"/>
          <w:bCs/>
          <w:kern w:val="0"/>
          <w:sz w:val="44"/>
          <w:szCs w:val="44"/>
        </w:rPr>
        <w:t>线路</w:t>
      </w:r>
      <w:r w:rsidRPr="009800A9">
        <w:rPr>
          <w:rFonts w:ascii="宋体" w:hAnsi="宋体"/>
          <w:bCs/>
          <w:kern w:val="0"/>
          <w:sz w:val="44"/>
          <w:szCs w:val="44"/>
        </w:rPr>
        <w:t>投诉率</w:t>
      </w:r>
      <w:r w:rsidRPr="009800A9">
        <w:rPr>
          <w:rFonts w:ascii="宋体" w:hAnsi="宋体" w:hint="eastAsia"/>
          <w:bCs/>
          <w:kern w:val="0"/>
          <w:sz w:val="44"/>
          <w:szCs w:val="44"/>
        </w:rPr>
        <w:t>统计表</w:t>
      </w:r>
    </w:p>
    <w:tbl>
      <w:tblPr>
        <w:tblW w:w="14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040"/>
        <w:gridCol w:w="937"/>
        <w:gridCol w:w="897"/>
        <w:gridCol w:w="802"/>
        <w:gridCol w:w="1002"/>
        <w:gridCol w:w="763"/>
        <w:gridCol w:w="1024"/>
        <w:gridCol w:w="1178"/>
        <w:gridCol w:w="801"/>
        <w:gridCol w:w="1864"/>
        <w:gridCol w:w="1985"/>
        <w:gridCol w:w="1729"/>
      </w:tblGrid>
      <w:tr w:rsidR="00F428A4" w:rsidTr="000C4045">
        <w:trPr>
          <w:trHeight w:val="564"/>
          <w:jc w:val="center"/>
        </w:trPr>
        <w:tc>
          <w:tcPr>
            <w:tcW w:w="536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40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线路</w:t>
            </w:r>
          </w:p>
        </w:tc>
        <w:tc>
          <w:tcPr>
            <w:tcW w:w="937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车辆</w:t>
            </w:r>
          </w:p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总数</w:t>
            </w:r>
          </w:p>
        </w:tc>
        <w:tc>
          <w:tcPr>
            <w:tcW w:w="897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投诉</w:t>
            </w:r>
          </w:p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宗数</w:t>
            </w:r>
          </w:p>
        </w:tc>
        <w:tc>
          <w:tcPr>
            <w:tcW w:w="802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投诉率</w:t>
            </w:r>
          </w:p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  <w:tc>
          <w:tcPr>
            <w:tcW w:w="1002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受理投诉宗数</w:t>
            </w:r>
          </w:p>
        </w:tc>
        <w:tc>
          <w:tcPr>
            <w:tcW w:w="763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撤诉宗数</w:t>
            </w:r>
          </w:p>
        </w:tc>
        <w:tc>
          <w:tcPr>
            <w:tcW w:w="1024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撤诉率</w:t>
            </w:r>
          </w:p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  <w:tc>
          <w:tcPr>
            <w:tcW w:w="1178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上月</w:t>
            </w:r>
            <w:r>
              <w:rPr>
                <w:rFonts w:hAnsi="宋体"/>
                <w:b/>
                <w:kern w:val="0"/>
                <w:szCs w:val="21"/>
              </w:rPr>
              <w:t>投诉率（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  <w:tc>
          <w:tcPr>
            <w:tcW w:w="801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环比</w:t>
            </w:r>
          </w:p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  <w:tc>
          <w:tcPr>
            <w:tcW w:w="1864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所属总公司</w:t>
            </w:r>
          </w:p>
        </w:tc>
        <w:tc>
          <w:tcPr>
            <w:tcW w:w="1985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投诉性质分类</w:t>
            </w:r>
          </w:p>
        </w:tc>
        <w:tc>
          <w:tcPr>
            <w:tcW w:w="1729" w:type="dxa"/>
            <w:vAlign w:val="center"/>
          </w:tcPr>
          <w:p w:rsidR="00F428A4" w:rsidRDefault="00F428A4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监督部门</w:t>
            </w:r>
          </w:p>
        </w:tc>
      </w:tr>
      <w:tr w:rsidR="00F428A4" w:rsidTr="000C4045">
        <w:trPr>
          <w:trHeight w:val="572"/>
          <w:jc w:val="center"/>
        </w:trPr>
        <w:tc>
          <w:tcPr>
            <w:tcW w:w="536" w:type="dxa"/>
            <w:vAlign w:val="center"/>
          </w:tcPr>
          <w:p w:rsidR="00F428A4" w:rsidRDefault="00F428A4" w:rsidP="000C4045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专营</w:t>
            </w:r>
          </w:p>
        </w:tc>
        <w:tc>
          <w:tcPr>
            <w:tcW w:w="1040" w:type="dxa"/>
            <w:vAlign w:val="center"/>
          </w:tcPr>
          <w:p w:rsidR="00F428A4" w:rsidRPr="0078542E" w:rsidRDefault="00F428A4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937" w:type="dxa"/>
            <w:vAlign w:val="center"/>
          </w:tcPr>
          <w:p w:rsidR="00F428A4" w:rsidRPr="0078542E" w:rsidRDefault="00F428A4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897" w:type="dxa"/>
            <w:vAlign w:val="center"/>
          </w:tcPr>
          <w:p w:rsidR="00F428A4" w:rsidRPr="0078542E" w:rsidRDefault="00F428A4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802" w:type="dxa"/>
            <w:vAlign w:val="center"/>
          </w:tcPr>
          <w:p w:rsidR="00F428A4" w:rsidRPr="0078542E" w:rsidRDefault="00F428A4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002" w:type="dxa"/>
            <w:vAlign w:val="center"/>
          </w:tcPr>
          <w:p w:rsidR="00F428A4" w:rsidRPr="0078542E" w:rsidRDefault="00F428A4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763" w:type="dxa"/>
            <w:vAlign w:val="center"/>
          </w:tcPr>
          <w:p w:rsidR="00F428A4" w:rsidRPr="0078542E" w:rsidRDefault="00F428A4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024" w:type="dxa"/>
            <w:vAlign w:val="center"/>
          </w:tcPr>
          <w:p w:rsidR="00F428A4" w:rsidRPr="0078542E" w:rsidRDefault="00F428A4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178" w:type="dxa"/>
            <w:vAlign w:val="center"/>
          </w:tcPr>
          <w:p w:rsidR="00F428A4" w:rsidRPr="0078542E" w:rsidRDefault="00F428A4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801" w:type="dxa"/>
            <w:vAlign w:val="center"/>
          </w:tcPr>
          <w:p w:rsidR="00F428A4" w:rsidRPr="0078542E" w:rsidRDefault="00F428A4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864" w:type="dxa"/>
            <w:vAlign w:val="center"/>
          </w:tcPr>
          <w:p w:rsidR="00F428A4" w:rsidRPr="0078542E" w:rsidRDefault="00F428A4" w:rsidP="000C4045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985" w:type="dxa"/>
            <w:vAlign w:val="center"/>
          </w:tcPr>
          <w:p w:rsidR="00F428A4" w:rsidRPr="0078542E" w:rsidRDefault="00F428A4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729" w:type="dxa"/>
            <w:vAlign w:val="center"/>
          </w:tcPr>
          <w:p w:rsidR="00F428A4" w:rsidRPr="0078542E" w:rsidRDefault="00F428A4" w:rsidP="000C4045"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——</w:t>
            </w:r>
          </w:p>
        </w:tc>
      </w:tr>
      <w:tr w:rsidR="00F428A4" w:rsidTr="000C4045">
        <w:trPr>
          <w:trHeight w:val="572"/>
          <w:jc w:val="center"/>
        </w:trPr>
        <w:tc>
          <w:tcPr>
            <w:tcW w:w="536" w:type="dxa"/>
            <w:vAlign w:val="center"/>
          </w:tcPr>
          <w:p w:rsidR="00F428A4" w:rsidRDefault="00F428A4" w:rsidP="000C4045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非专营</w:t>
            </w:r>
          </w:p>
        </w:tc>
        <w:tc>
          <w:tcPr>
            <w:tcW w:w="1040" w:type="dxa"/>
            <w:vAlign w:val="center"/>
          </w:tcPr>
          <w:p w:rsidR="00F428A4" w:rsidRPr="00BF692B" w:rsidRDefault="00F428A4" w:rsidP="000C4045">
            <w:pPr>
              <w:jc w:val="center"/>
              <w:rPr>
                <w:szCs w:val="21"/>
              </w:rPr>
            </w:pPr>
            <w:r w:rsidRPr="00BF692B">
              <w:rPr>
                <w:szCs w:val="21"/>
              </w:rPr>
              <w:t>331</w:t>
            </w:r>
          </w:p>
        </w:tc>
        <w:tc>
          <w:tcPr>
            <w:tcW w:w="937" w:type="dxa"/>
            <w:vAlign w:val="center"/>
          </w:tcPr>
          <w:p w:rsidR="00F428A4" w:rsidRPr="00BF692B" w:rsidRDefault="00F428A4" w:rsidP="000C4045">
            <w:pPr>
              <w:jc w:val="center"/>
              <w:rPr>
                <w:szCs w:val="21"/>
              </w:rPr>
            </w:pPr>
            <w:r w:rsidRPr="00BF692B">
              <w:rPr>
                <w:szCs w:val="21"/>
              </w:rPr>
              <w:t>68</w:t>
            </w:r>
          </w:p>
        </w:tc>
        <w:tc>
          <w:tcPr>
            <w:tcW w:w="897" w:type="dxa"/>
            <w:vAlign w:val="center"/>
          </w:tcPr>
          <w:p w:rsidR="00F428A4" w:rsidRPr="00BF692B" w:rsidRDefault="00F428A4" w:rsidP="000C4045">
            <w:pPr>
              <w:jc w:val="center"/>
              <w:rPr>
                <w:szCs w:val="21"/>
              </w:rPr>
            </w:pPr>
            <w:r w:rsidRPr="00BF692B">
              <w:rPr>
                <w:szCs w:val="21"/>
              </w:rPr>
              <w:t>1</w:t>
            </w:r>
          </w:p>
        </w:tc>
        <w:tc>
          <w:tcPr>
            <w:tcW w:w="802" w:type="dxa"/>
            <w:vAlign w:val="center"/>
          </w:tcPr>
          <w:p w:rsidR="00F428A4" w:rsidRPr="00BF692B" w:rsidRDefault="00F428A4" w:rsidP="000C4045">
            <w:pPr>
              <w:jc w:val="center"/>
              <w:rPr>
                <w:szCs w:val="21"/>
              </w:rPr>
            </w:pPr>
            <w:r w:rsidRPr="00BF692B">
              <w:rPr>
                <w:szCs w:val="21"/>
              </w:rPr>
              <w:t xml:space="preserve">1.47 </w:t>
            </w:r>
          </w:p>
        </w:tc>
        <w:tc>
          <w:tcPr>
            <w:tcW w:w="1002" w:type="dxa"/>
            <w:vAlign w:val="center"/>
          </w:tcPr>
          <w:p w:rsidR="00F428A4" w:rsidRPr="00BF692B" w:rsidRDefault="00F428A4" w:rsidP="000C4045">
            <w:pPr>
              <w:jc w:val="center"/>
              <w:rPr>
                <w:szCs w:val="21"/>
              </w:rPr>
            </w:pPr>
            <w:r w:rsidRPr="00BF692B">
              <w:rPr>
                <w:szCs w:val="21"/>
              </w:rPr>
              <w:t>1</w:t>
            </w:r>
          </w:p>
        </w:tc>
        <w:tc>
          <w:tcPr>
            <w:tcW w:w="763" w:type="dxa"/>
            <w:vAlign w:val="center"/>
          </w:tcPr>
          <w:p w:rsidR="00F428A4" w:rsidRPr="00BF692B" w:rsidRDefault="00F428A4" w:rsidP="000C4045">
            <w:pPr>
              <w:jc w:val="center"/>
              <w:rPr>
                <w:szCs w:val="21"/>
              </w:rPr>
            </w:pPr>
            <w:r w:rsidRPr="00BF692B">
              <w:rPr>
                <w:szCs w:val="21"/>
              </w:rPr>
              <w:t>0</w:t>
            </w:r>
          </w:p>
        </w:tc>
        <w:tc>
          <w:tcPr>
            <w:tcW w:w="1024" w:type="dxa"/>
            <w:vAlign w:val="center"/>
          </w:tcPr>
          <w:p w:rsidR="00F428A4" w:rsidRPr="00BF692B" w:rsidRDefault="00F428A4" w:rsidP="000C4045">
            <w:pPr>
              <w:jc w:val="center"/>
              <w:rPr>
                <w:szCs w:val="21"/>
              </w:rPr>
            </w:pPr>
            <w:r w:rsidRPr="00BF692B">
              <w:rPr>
                <w:szCs w:val="21"/>
              </w:rPr>
              <w:t xml:space="preserve">0.00 </w:t>
            </w:r>
          </w:p>
        </w:tc>
        <w:tc>
          <w:tcPr>
            <w:tcW w:w="1178" w:type="dxa"/>
            <w:vAlign w:val="center"/>
          </w:tcPr>
          <w:p w:rsidR="00F428A4" w:rsidRPr="00BF692B" w:rsidRDefault="00F428A4" w:rsidP="000C4045">
            <w:pPr>
              <w:jc w:val="center"/>
              <w:rPr>
                <w:szCs w:val="21"/>
              </w:rPr>
            </w:pPr>
            <w:r w:rsidRPr="00BF692B">
              <w:rPr>
                <w:szCs w:val="21"/>
              </w:rPr>
              <w:t xml:space="preserve">1.47 </w:t>
            </w:r>
          </w:p>
        </w:tc>
        <w:tc>
          <w:tcPr>
            <w:tcW w:w="801" w:type="dxa"/>
            <w:vAlign w:val="center"/>
          </w:tcPr>
          <w:p w:rsidR="00F428A4" w:rsidRPr="00BF692B" w:rsidRDefault="00F428A4" w:rsidP="000C4045">
            <w:pPr>
              <w:jc w:val="center"/>
              <w:rPr>
                <w:szCs w:val="21"/>
              </w:rPr>
            </w:pPr>
            <w:r w:rsidRPr="00BF692B">
              <w:rPr>
                <w:szCs w:val="21"/>
              </w:rPr>
              <w:t xml:space="preserve">0.00 </w:t>
            </w:r>
          </w:p>
        </w:tc>
        <w:tc>
          <w:tcPr>
            <w:tcW w:w="1864" w:type="dxa"/>
            <w:vAlign w:val="center"/>
          </w:tcPr>
          <w:p w:rsidR="00F428A4" w:rsidRPr="00BF692B" w:rsidRDefault="00F428A4" w:rsidP="000C4045">
            <w:pPr>
              <w:jc w:val="center"/>
              <w:rPr>
                <w:szCs w:val="21"/>
              </w:rPr>
            </w:pPr>
            <w:r w:rsidRPr="00BF692B">
              <w:rPr>
                <w:rFonts w:hint="eastAsia"/>
                <w:szCs w:val="21"/>
              </w:rPr>
              <w:t>深圳市金华南巴士股份有限公司</w:t>
            </w:r>
          </w:p>
        </w:tc>
        <w:tc>
          <w:tcPr>
            <w:tcW w:w="1985" w:type="dxa"/>
            <w:vAlign w:val="center"/>
          </w:tcPr>
          <w:p w:rsidR="00F428A4" w:rsidRPr="00BF692B" w:rsidRDefault="00F428A4" w:rsidP="000C4045">
            <w:pPr>
              <w:jc w:val="center"/>
              <w:rPr>
                <w:szCs w:val="21"/>
              </w:rPr>
            </w:pPr>
            <w:r w:rsidRPr="00BF692B">
              <w:rPr>
                <w:rFonts w:hint="eastAsia"/>
                <w:szCs w:val="21"/>
              </w:rPr>
              <w:t>不按规定站点停靠</w:t>
            </w:r>
          </w:p>
        </w:tc>
        <w:tc>
          <w:tcPr>
            <w:tcW w:w="1729" w:type="dxa"/>
            <w:vAlign w:val="center"/>
          </w:tcPr>
          <w:p w:rsidR="00F428A4" w:rsidRPr="00BF692B" w:rsidRDefault="00F428A4" w:rsidP="000C4045">
            <w:pPr>
              <w:jc w:val="center"/>
              <w:rPr>
                <w:kern w:val="0"/>
                <w:szCs w:val="21"/>
              </w:rPr>
            </w:pPr>
            <w:r w:rsidRPr="00BF692B">
              <w:rPr>
                <w:rFonts w:hint="eastAsia"/>
                <w:szCs w:val="21"/>
              </w:rPr>
              <w:t>福田交通运输局</w:t>
            </w:r>
          </w:p>
        </w:tc>
      </w:tr>
    </w:tbl>
    <w:p w:rsidR="00F428A4" w:rsidRDefault="00F428A4" w:rsidP="00F428A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注：11月份专营公交企业线路投诉成立为0条。</w:t>
      </w:r>
    </w:p>
    <w:p w:rsidR="007C6104" w:rsidRPr="00F428A4" w:rsidRDefault="007C6104" w:rsidP="00F428A4">
      <w:bookmarkStart w:id="0" w:name="_GoBack"/>
      <w:bookmarkEnd w:id="0"/>
    </w:p>
    <w:sectPr w:rsidR="007C6104" w:rsidRPr="00F428A4" w:rsidSect="002246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B"/>
    <w:rsid w:val="0022466B"/>
    <w:rsid w:val="007C6104"/>
    <w:rsid w:val="00CD4F70"/>
    <w:rsid w:val="00F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07B7-78F6-42B0-A356-C10C356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2019-12-27T06:16:00Z</dcterms:created>
  <dcterms:modified xsi:type="dcterms:W3CDTF">2019-12-27T06:16:00Z</dcterms:modified>
</cp:coreProperties>
</file>