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</w:p>
    <w:p>
      <w:pPr>
        <w:widowControl/>
        <w:spacing w:line="0" w:lineRule="atLeast"/>
        <w:jc w:val="center"/>
        <w:rPr>
          <w:rFonts w:hint="eastAsia" w:ascii="宋体" w:hAnsi="宋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深圳市交通运输局收费高速公路运营管理</w:t>
      </w:r>
    </w:p>
    <w:p>
      <w:pPr>
        <w:widowControl/>
        <w:spacing w:after="156" w:afterLines="50" w:line="0" w:lineRule="atLeast"/>
        <w:jc w:val="center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考评指标评分细则（试行）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50"/>
        <w:gridCol w:w="1140"/>
        <w:gridCol w:w="952"/>
        <w:gridCol w:w="4949"/>
        <w:gridCol w:w="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考核类别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考核项目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考核方式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评分标准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（一）路政管理</w:t>
            </w:r>
          </w:p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（30分）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路政日常巡查（5分）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1）按照规定开展路政日常巡查；发现路政违法行为及时制止并报告；巡查记录完整清晰。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各项中每发现一次不符合的扣0.5分，扣完为止。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路政业务管理（8分）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日常检查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积极配合开展路政许可勘验工作；提供勘验资料准确无误；未违规实施路政许可事项；将已批准的路政许可事项纳入日常管理范围，发现问题及时处理；巡查发现问题能当场制止并取证上报；路政许可施工完成应协助相关部门进行验收，并将情况上报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各项中每发现一次不符合的扣0.5分，扣完为止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50"/>
        <w:gridCol w:w="1140"/>
        <w:gridCol w:w="952"/>
        <w:gridCol w:w="4949"/>
        <w:gridCol w:w="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考核类别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考核项目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考核方式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评分标准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（一）路政管理</w:t>
            </w:r>
          </w:p>
          <w:p>
            <w:pPr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（30分）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路产路权保护（5分）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1）发现违法侵占公路用地、违规开设道口、违规设置广告牌、破坏公路排水系统等现象，有进行制止和责令整改及上报；发现污染公路行为及时查处；造成路产损失按照程序进行处理。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）各项中每发现一次不符合的扣0.5分，扣完为止。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路政队伍管理（3分）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投诉举报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1）路政人员在路政管理工作中无暴力行为；没有滥用职权、超越职权行为；没有利用职务便利索取、收受他人财物或谋取其他利益行为。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）各项中每发现一次不符合的扣0.5分，扣完为止。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事故应急救援（4分）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1）接到事故报告能迅速赶赴现场，维护现场通行秩序，配合交警开展交通管制，协助进行现场救援工作；事故现场处置完毕，负责恢复现场交通。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）各项中每发现一次不符合的扣0.5分，扣完为止。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路域环境</w:t>
            </w:r>
          </w:p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（5分）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髙速公路用地、建筑控制区等公路安全保护区监管有力，路域环境达到“八个无”：交通标志前后500米无广告、无违法建筑物和地面构筑物、无违法搭接道口和占地挖掘公路、无违法跨越和穿越公路的设施、无违法非公路标志、无路基路肩边坡非法种植物、无摆摊设点和打谷晒场、无公路用地范围内堆积物等。组织开展路域环境存在问题排查，发现问题并整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2）发现路面障碍物，及时设置警示标志，能够自行清理的，在确保安全的前提下，及时处理，不能及时处理的，及时通知相关部门处理。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）各项中每发现一次不符合的扣0.2分，扣完为止。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（二）养护管理</w:t>
            </w:r>
          </w:p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（20分）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养护质量</w:t>
            </w:r>
          </w:p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（10分）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检测/检查报告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1）技术状况指数（MQI）全线平均分不小于90分，否则扣5分。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）计算评价单元的优等路率百分比，优等路率为100%得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满分，每下降1个百分点，扣0.5分，扣完为止</w:t>
            </w: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3）桥梁与隧道都评为1、2类，涵洞都评为好、较好得满分。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4）桥梁与隧道评为3、4类每座扣1分，涵洞评为较差、差每座扣1分，扣完为止。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5）出现评为5类的桥梁与隧道，危险等级的涵洞，扣6分。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养护科学决策与执行</w:t>
            </w:r>
          </w:p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1）开展养护科学决策工作，编制公路养护中长期规划及年度实施计划，养护工程项目库实行动态管理。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2）落实年度养护计划及大中修计划。</w:t>
            </w:r>
          </w:p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）各项中每发现一次不符合的扣0.5分，扣完为止。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交通设施</w:t>
            </w:r>
          </w:p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（4分）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1）交通标志标线清晰、规范，沿线可变情报板运行良好，公路沿线护栏、隔离栅等损坏能及时发现、修复，隧道设施完备、路灯亮灯率达到95%以上，隧道机电设备运行良好。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）各项中每发现一次不符合的扣0.2分，扣完为止。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50"/>
        <w:gridCol w:w="1140"/>
        <w:gridCol w:w="952"/>
        <w:gridCol w:w="4949"/>
        <w:gridCol w:w="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考核类别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考核项目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考核方式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评分标准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4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（二）养护管理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（20分）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绿化保洁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1）公路绿化植物应定期进行修剪，不得遮挡标志牌；加强病虫害防治，绿化管护到位，没有出现绿化植物枯萎或缺失，应绿化路段全部绿化；高速公路路面及管辖范围内环境整洁、无杂物。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）各项中每发现一次不符合的扣0.2分，扣完为止。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（三）收费与出行服务（20分）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站容站貌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1）收费广场、收费亭、车道（包括附属场所）保持干净整洁，车道内废票、杂物、垃圾、污水等及时清理；排水沟无垃圾，收费广场绿化区域无杂物，绿化整洁美观。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）各项中每发现一次不符合的扣0.2分，扣完为止。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收费拥堵应急处置</w:t>
            </w:r>
          </w:p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（5分）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视频抽查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1）各收费站应按规定设置相应的ETC车道、绿色通道等专用车道，不得随意关闭，并保证绿色通道能够全天正常通行；在节假日免费期间应设置相应的专用免费车通道。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2）在车流高峰情况下，包括节假日高峰期及突发性高峰，收费站应制定车流高峰应急预案并能及时启动应对。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3）在车流高峰情况下，包括节假日高峰期及突发性高峰，现场应有专人负责维护秩序处理异常事件。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）在日常情况下，收费站可按交通量状况动态控制开通车道数量，车流量突发增大时应及时开启车道或复式收费、移动便携式收费等手段。车道未全开的情况下，不能出现收费广场平均每条车道停车等候超过5台车。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5）在日常情况下，收费人员业务熟练，及时发卡、收费。如车道发生特殊事件的除外。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6）按照要求设置计重车道，定期巡检维护，落实超载车辆禁入规定，做到货车必检，超限超载车辆禁入，建立健全治超劝返工作台账。</w:t>
            </w:r>
          </w:p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）各项中每发现一次不符合的扣0.5分，扣完为止。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收费信息公开（3分）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收费现场必须公示的项目：服务工号牌、收费站站牌、“八公开一监督”（文明服务承诺、批准收费机关、审批文号、主管部门、收费性质、收费单位、收费标准、收费期限、监督电话）公示牌、“绿色通道”收费政策公告牌。各项公示项目安装于显著位置，与收费环境协调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）各项中每发现一次不符合的扣0.2分，扣完为止。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240" w:lineRule="exact"/>
        <w:rPr>
          <w:rFonts w:hint="eastAsia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50"/>
        <w:gridCol w:w="1140"/>
        <w:gridCol w:w="952"/>
        <w:gridCol w:w="4949"/>
        <w:gridCol w:w="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考核类别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考核项目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考核方式</w:t>
            </w: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评分标准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（三）收费与出行服务（20分）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投诉处理</w:t>
            </w:r>
          </w:p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（4分）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1）统一公布投诉举报电话，畅通举报投诉渠道，健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全和完善相关制度，确保有效投诉答复率达到100%。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投诉处理责任单位在投诉的认定和处理过程中，应将相关的资料（包括车道广场录像、电话录音、出入口流水、车道日志、抓拍图片、文字材料等）备份存档，并完好保留一年以上（自受理投诉之日起），以备调阅查询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 xml:space="preserve">）各项中每发现一次不符合的扣0.5分，扣完为止。 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收费文明服务（3分）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1）在不影响正常通行情况下，收费站人员应为司乘人员提供信息咨询服务；收费站人员应着装统一、整洁，使用文明用语、礼仪手势、微笑服务为司乘人员提供服务。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）各项中每发现一次不符合的扣0.2分，扣完为止。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路况信息发布（2分）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1）施工路段信息应在交通管制前72小时，水毁、大雾、台风、重大交通事故等突发事件导致的交通管制或交通封闭应在30分钟内上报并及时通过新闻媒体发布。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-2"/>
                <w:szCs w:val="21"/>
              </w:rPr>
              <w:t>）各项中每发现一次不符合的扣0.5分，扣完为止。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（四）安全与应急管理（30分）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安全生产责</w:t>
            </w:r>
            <w:r>
              <w:rPr>
                <w:rFonts w:hint="eastAsia" w:ascii="宋体" w:hAnsi="宋体" w:cs="宋体"/>
                <w:color w:val="000000"/>
                <w:spacing w:val="-14"/>
                <w:szCs w:val="21"/>
              </w:rPr>
              <w:t>任制（5分）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1）建立安全生产责任制，明确企业各级管理人员的安全职责；成立安全管理机构，配备足够的安全管理人员；建立健全安全生产工作例会制度，定期召开安全生产会议。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2）各项中每发现一次不符合的扣1分，扣完为止。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落实上级文件（5分）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1）贯彻落实上级安全生产工作文件、会议精神；按要求及时上报安全生产信息、工作总结、安全生产事故信息等材料。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2）各项中每发现一次不符合的扣1分，扣完为止。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安全教育培训（5分）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1）建立安全生产教育培训制度，制定了安全培训计划，并按计划开展了安全生产教育培训工作。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2）各项中每发现一次不符合的扣1分，扣完为止。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安全隐患排查（8分）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1）建立安全生产检查制度和安全隐患排查制度及执行记录；发现事故隐患，签发隐患整改通知书，限期整改，并检查隐患整改情况。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2）各项中每发现一次不符合的扣1分，扣完为止。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安全应急预案及演练</w:t>
            </w:r>
          </w:p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（4分）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1）建立道路交通事故、食品卫生安全、消防安全、化学物品泄漏等应急预案，组建应急处置队伍，对各项安全预案定期组织进行演练且有记录。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2）各项中每发现一次不符合的扣1分，扣完为止。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安全生产资金保障与物资储备</w:t>
            </w:r>
          </w:p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（3分）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内业资料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现场抽查</w:t>
            </w:r>
          </w:p>
        </w:tc>
        <w:tc>
          <w:tcPr>
            <w:tcW w:w="4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1）建立安全生产投入计划及使用提取台账；建立健全应急物资储备和调用制度，应急物资现场管理规范、保障有力。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</w:rPr>
              <w:t>2）各项中每发现一次不符合的扣1分，扣完为止。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B11BB"/>
    <w:rsid w:val="788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2021-01-27T03:18:00Z</dcterms:created>
  <dc:creator>微凉</dc:creator>
  <cp:lastModifiedBy>微凉</cp:lastModifiedBy>
  <dcterms:modified xsi:type="dcterms:W3CDTF">2021-01-27T03:19:11Z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