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</w:p>
    <w:p>
      <w:pPr>
        <w:widowControl/>
        <w:spacing w:line="0" w:lineRule="atLeast"/>
        <w:jc w:val="center"/>
        <w:rPr>
          <w:rFonts w:hint="eastAsia" w:ascii="宋体" w:hAnsi="宋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Cs/>
          <w:color w:val="000000"/>
          <w:kern w:val="0"/>
          <w:sz w:val="36"/>
          <w:szCs w:val="36"/>
        </w:rPr>
        <w:t>深圳市交通运输局收费高速公路运营管理</w:t>
      </w:r>
    </w:p>
    <w:p>
      <w:pPr>
        <w:widowControl/>
        <w:spacing w:after="156" w:afterLines="50" w:line="0" w:lineRule="atLeast"/>
        <w:jc w:val="center"/>
        <w:rPr>
          <w:rFonts w:ascii="宋体" w:hAnsi="宋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Cs/>
          <w:color w:val="000000"/>
          <w:kern w:val="0"/>
          <w:sz w:val="36"/>
          <w:szCs w:val="36"/>
        </w:rPr>
        <w:t>考评指标评分细则（试行）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950"/>
        <w:gridCol w:w="1140"/>
        <w:gridCol w:w="952"/>
        <w:gridCol w:w="4949"/>
        <w:gridCol w:w="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序号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考核类别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考核项目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考核方式</w:t>
            </w:r>
          </w:p>
        </w:tc>
        <w:tc>
          <w:tcPr>
            <w:tcW w:w="4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评分标准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9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（一）路政管理</w:t>
            </w:r>
          </w:p>
          <w:p>
            <w:pPr>
              <w:widowControl/>
              <w:spacing w:line="28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（30分）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路政日常巡查（5分）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内业资料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1）按照规定开展路政日常巡查；发现路政违法行为及时制止并报告；巡查记录完整清晰。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2）</w:t>
            </w:r>
            <w:r>
              <w:rPr>
                <w:rFonts w:hint="eastAsia" w:ascii="宋体" w:hAnsi="宋体" w:cs="宋体"/>
                <w:color w:val="000000"/>
                <w:spacing w:val="-2"/>
                <w:szCs w:val="21"/>
              </w:rPr>
              <w:t>各项中每发现一次不符合的扣0.5分，扣完为止。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路政业务管理（8分）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日常检查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内业资料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积极配合开展路政许可勘验工作；提供勘验资料准确无误；未违规实施路政许可事项；将已批准的路政许可事项纳入日常管理范围，发现问题及时处理；巡查发现问题能当场制止并取证上报；路政许可施工完成应协助相关部门进行验收，并将情况上报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2）</w:t>
            </w:r>
            <w:r>
              <w:rPr>
                <w:rFonts w:hint="eastAsia" w:ascii="宋体" w:hAnsi="宋体" w:cs="宋体"/>
                <w:color w:val="000000"/>
                <w:spacing w:val="-2"/>
                <w:szCs w:val="21"/>
              </w:rPr>
              <w:t>各项中每发现一次不符合的扣0.5分，扣完为止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</w:tbl>
    <w:p>
      <w:pPr>
        <w:spacing w:line="240" w:lineRule="exact"/>
        <w:rPr>
          <w:rFonts w:hint="eastAsia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950"/>
        <w:gridCol w:w="1140"/>
        <w:gridCol w:w="952"/>
        <w:gridCol w:w="4949"/>
        <w:gridCol w:w="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序号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考核类别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考核项目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考核方式</w:t>
            </w:r>
          </w:p>
        </w:tc>
        <w:tc>
          <w:tcPr>
            <w:tcW w:w="4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评分标准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9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（一）路政管理</w:t>
            </w:r>
          </w:p>
          <w:p>
            <w:pPr>
              <w:spacing w:line="264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（30分）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路产路权保护（5分）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内业资料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现场抽查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1）发现违法侵占公路用地、违规开设道口、违规设置广告牌、破坏公路排水系统等现象，有进行制止和责令整改及上报；发现污染公路行为及时查处；造成路产损失按照程序进行处理。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pacing w:val="-2"/>
                <w:szCs w:val="21"/>
              </w:rPr>
              <w:t>）各项中每发现一次不符合的扣0.5分，扣完为止。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路政队伍管理（3分）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投诉举报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1）路政人员在路政管理工作中无暴力行为；没有滥用职权、超越职权行为；没有利用职务便利索取、收受他人财物或谋取其他利益行为。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pacing w:val="-2"/>
                <w:szCs w:val="21"/>
              </w:rPr>
              <w:t>）各项中每发现一次不符合的扣0.5分，扣完为止。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事故应急救援（4分）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内业资料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现场抽查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1）接到事故报告能迅速赶赴现场，维护现场通行秩序，配合交警开展交通管制，协助进行现场救援工作；事故现场处置完毕，负责恢复现场交通。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pacing w:val="-2"/>
                <w:szCs w:val="21"/>
              </w:rPr>
              <w:t>）各项中每发现一次不符合的扣0.5分，扣完为止。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路域环境</w:t>
            </w:r>
          </w:p>
          <w:p>
            <w:pPr>
              <w:widowControl/>
              <w:spacing w:line="264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（5分）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内业资料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现场抽查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髙速公路用地、建筑控制区等公路安全保护区监管有力，路域环境达到“八个无”：交通标志前后500米无广告、无违法建筑物和地面构筑物、无违法搭接道口和占地挖掘公路、无违法跨越和穿越公路的设施、无违法非公路标志、无路基路肩边坡非法种植物、无摆摊设点和打谷晒场、无公路用地范围内堆积物等。组织开展路域环境存在问题排查，发现问题并整改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2）发现路面障碍物，及时设置警示标志，能够自行清理的，在确保安全的前提下，及时处理，不能及时处理的，及时通知相关部门处理。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pacing w:val="-2"/>
                <w:szCs w:val="21"/>
              </w:rPr>
              <w:t>）各项中每发现一次不符合的扣0.2分，扣完为止。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9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（二）养护管理</w:t>
            </w:r>
          </w:p>
          <w:p>
            <w:pPr>
              <w:widowControl/>
              <w:spacing w:line="264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（20分）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养护质量</w:t>
            </w:r>
          </w:p>
          <w:p>
            <w:pPr>
              <w:widowControl/>
              <w:spacing w:line="264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（10分）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检测/检查报告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1）技术状况指数（MQI）全线平均分不小于90分，否则扣5分。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）计算评价单元的优等路率百分比，优等路率为100%得</w:t>
            </w:r>
            <w:r>
              <w:rPr>
                <w:rFonts w:hint="eastAsia" w:ascii="宋体" w:hAnsi="宋体" w:cs="宋体"/>
                <w:color w:val="000000"/>
                <w:spacing w:val="-2"/>
                <w:szCs w:val="21"/>
              </w:rPr>
              <w:t>满分，每下降1个百分点，扣0.5分，扣完为止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3）桥梁与隧道都评为1、2类，涵洞都评为好、较好得满分。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4）桥梁与隧道评为3、4类每座扣1分，涵洞评为较差、差每座扣1分，扣完为止。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5）出现评为5类的桥梁与隧道，危险等级的涵洞，扣6分。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养护科学决策与执行</w:t>
            </w:r>
          </w:p>
          <w:p>
            <w:pPr>
              <w:widowControl/>
              <w:spacing w:line="264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（3分）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内业资料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现场抽查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1）开展养护科学决策工作，编制公路养护中长期规划及年度实施计划，养护工程项目库实行动态管理。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2）落实年度养护计划及大中修计划。</w:t>
            </w:r>
          </w:p>
          <w:p>
            <w:pPr>
              <w:widowControl/>
              <w:spacing w:line="264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pacing w:val="-2"/>
                <w:szCs w:val="21"/>
              </w:rPr>
              <w:t>）各项中每发现一次不符合的扣0.5分，扣完为止。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交通设施</w:t>
            </w:r>
          </w:p>
          <w:p>
            <w:pPr>
              <w:widowControl/>
              <w:spacing w:line="264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（4分）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现场抽查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1）交通标志标线清晰、规范，沿线可变情报板运行良好，公路沿线护栏、隔离栅等损坏能及时发现、修复，隧道设施完备、路灯亮灯率达到95%以上，隧道机电设备运行良好。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pacing w:val="-2"/>
                <w:szCs w:val="21"/>
              </w:rPr>
              <w:t>）各项中每发现一次不符合的扣0.2分，扣完为止。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</w:tbl>
    <w:p>
      <w:pPr>
        <w:spacing w:line="240" w:lineRule="exact"/>
        <w:rPr>
          <w:rFonts w:hint="eastAsia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950"/>
        <w:gridCol w:w="1140"/>
        <w:gridCol w:w="952"/>
        <w:gridCol w:w="4949"/>
        <w:gridCol w:w="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序号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考核类别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考核项目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考核方式</w:t>
            </w:r>
          </w:p>
        </w:tc>
        <w:tc>
          <w:tcPr>
            <w:tcW w:w="4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评分标准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4" w:lineRule="exact"/>
              <w:ind w:left="-63" w:leftChars="-30" w:right="-63" w:rightChars="-3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（二）养护管理</w:t>
            </w:r>
          </w:p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（20分）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绿化保洁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（3分）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现场抽查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1）公路绿化植物应定期进行修剪，不得遮挡标志牌；加强病虫害防治，绿化管护到位，没有出现绿化植物枯萎或缺失，应绿化路段全部绿化；高速公路路面及管辖范围内环境整洁、无杂物。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pacing w:val="-2"/>
                <w:szCs w:val="21"/>
              </w:rPr>
              <w:t>）各项中每发现一次不符合的扣0.2分，扣完为止。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95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（三）收费与出行服务（20分）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站容站貌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（3分）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现场抽查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1）收费广场、收费亭、车道（包括附属场所）保持干净整洁，车道内废票、杂物、垃圾、污水等及时清理；排水沟无垃圾，收费广场绿化区域无杂物，绿化整洁美观。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pacing w:val="-2"/>
                <w:szCs w:val="21"/>
              </w:rPr>
              <w:t>）各项中每发现一次不符合的扣0.2分，扣完为止。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收费拥堵应急处置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（5分）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现场抽查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视频抽查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1）各收费站应按规定设置相应的ETC车道、绿色通道等专用车道，不得随意关闭，并保证绿色通道能够全天正常通行；在节假日免费期间应设置相应的专用免费车通道。</w:t>
            </w:r>
          </w:p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2）在车流高峰情况下，包括节假日高峰期及突发性高峰，收费站应制定车流高峰应急预案并能及时启动应对。</w:t>
            </w:r>
          </w:p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3）在车流高峰情况下，包括节假日高峰期及突发性高峰，现场应有专人负责维护秩序处理异常事件。</w:t>
            </w:r>
          </w:p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）在日常情况下，收费站可按交通量状况动态控制开通车道数量，车流量突发增大时应及时开启车道或复式收费、移动便携式收费等手段。车道未全开的情况下，不能出现收费广场平均每条车道停车等候超过5台车。</w:t>
            </w:r>
          </w:p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5）在日常情况下，收费人员业务熟练，及时发卡、收费。如车道发生特殊事件的除外。</w:t>
            </w:r>
          </w:p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6）按照要求设置计重车道，定期巡检维护，落实超载车辆禁入规定，做到货车必检，超限超载车辆禁入，建立健全治超劝返工作台账。</w:t>
            </w:r>
          </w:p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spacing w:val="-2"/>
                <w:szCs w:val="21"/>
              </w:rPr>
              <w:t>）各项中每发现一次不符合的扣0.5分，扣完为止。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收费信息公开（3分）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现场抽查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收费现场必须公示的项目：服务工号牌、收费站站牌、“八公开一监督”（文明服务承诺、批准收费机关、审批文号、主管部门、收费性质、收费单位、收费标准、收费期限、监督电话）公示牌、“绿色通道”收费政策公告牌。各项公示项目安装于显著位置，与收费环境协调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pacing w:val="-2"/>
                <w:szCs w:val="21"/>
              </w:rPr>
              <w:t>）各项中每发现一次不符合的扣0.2分，扣完为止。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950"/>
        <w:gridCol w:w="1140"/>
        <w:gridCol w:w="952"/>
        <w:gridCol w:w="4949"/>
        <w:gridCol w:w="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序号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考核类别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考核项目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考核方式</w:t>
            </w:r>
          </w:p>
        </w:tc>
        <w:tc>
          <w:tcPr>
            <w:tcW w:w="4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评分标准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14</w:t>
            </w:r>
          </w:p>
        </w:tc>
        <w:tc>
          <w:tcPr>
            <w:tcW w:w="95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（三）收费与出行服务（20分）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投诉处理</w:t>
            </w:r>
          </w:p>
          <w:p>
            <w:pPr>
              <w:widowControl/>
              <w:spacing w:line="276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（4分）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内业资料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现场抽查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1）统一公布投诉举报电话，畅通举报投诉渠道，健</w:t>
            </w:r>
            <w:r>
              <w:rPr>
                <w:rFonts w:hint="eastAsia" w:ascii="宋体" w:hAnsi="宋体" w:cs="宋体"/>
                <w:color w:val="000000"/>
                <w:spacing w:val="-2"/>
                <w:szCs w:val="21"/>
              </w:rPr>
              <w:t>全和完善相关制度，确保有效投诉答复率达到100%。</w:t>
            </w:r>
            <w:r>
              <w:rPr>
                <w:rFonts w:hint="eastAsia" w:ascii="宋体" w:hAnsi="宋体" w:cs="宋体"/>
                <w:color w:val="000000"/>
                <w:spacing w:val="-2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2）投诉处理责任单位在投诉的认定和处理过程中，应将相关的资料（包括车道广场录像、电话录音、出入口流水、车道日志、抓拍图片、文字材料等）备份存档，并完好保留一年以上（自受理投诉之日起），以备调阅查询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pacing w:val="-2"/>
                <w:szCs w:val="21"/>
              </w:rPr>
              <w:t xml:space="preserve">）各项中每发现一次不符合的扣0.5分，扣完为止。 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</w:t>
            </w:r>
          </w:p>
        </w:tc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收费文明服务（3分）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现场抽查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1）在不影响正常通行情况下，收费站人员应为司乘人员提供信息咨询服务；收费站人员应着装统一、整洁，使用文明用语、礼仪手势、微笑服务为司乘人员提供服务。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pacing w:val="-2"/>
                <w:szCs w:val="21"/>
              </w:rPr>
              <w:t>）各项中每发现一次不符合的扣0.2分，扣完为止。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16</w:t>
            </w:r>
          </w:p>
        </w:tc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路况信息发布（2分）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现场抽查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1）施工路段信息应在交通管制前72小时，水毁、大雾、台风、重大交通事故等突发事件导致的交通管制或交通封闭应在30分钟内上报并及时通过新闻媒体发布。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pacing w:val="-2"/>
                <w:szCs w:val="21"/>
              </w:rPr>
              <w:t>）各项中每发现一次不符合的扣0.5分，扣完为止。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（四）安全与应急管理（30分）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安全生产责</w:t>
            </w:r>
            <w:r>
              <w:rPr>
                <w:rFonts w:hint="eastAsia" w:ascii="宋体" w:hAnsi="宋体" w:cs="宋体"/>
                <w:color w:val="000000"/>
                <w:spacing w:val="-14"/>
                <w:szCs w:val="21"/>
              </w:rPr>
              <w:t>任制（5分）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内业资料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1）建立安全生产责任制，明确企业各级管理人员的安全职责；成立安全管理机构，配备足够的安全管理人员；建立健全安全生产工作例会制度，定期召开安全生产会议。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2）各项中每发现一次不符合的扣1分，扣完为止。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18</w:t>
            </w: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落实上级文件（5分）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内业资料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1）贯彻落实上级安全生产工作文件、会议精神；按要求及时上报安全生产信息、工作总结、安全生产事故信息等材料。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2）各项中每发现一次不符合的扣1分，扣完为止。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</w:t>
            </w: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安全教育培训（5分）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内业资料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现场抽查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1）建立安全生产教育培训制度，制定了安全培训计划，并按计划开展了安全生产教育培训工作。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2）各项中每发现一次不符合的扣1分，扣完为止。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安全隐患排查（8分）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内业资料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现场抽查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1）建立安全生产检查制度和安全隐患排查制度及执行记录；发现事故隐患，签发隐患整改通知书，限期整改，并检查隐患整改情况。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2）各项中每发现一次不符合的扣1分，扣完为止。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21</w:t>
            </w: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安全应急预案及演练</w:t>
            </w:r>
          </w:p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（4分）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内业资料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现场抽查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1）建立道路交通事故、食品卫生安全、消防安全、化学物品泄漏等应急预案，组建应急处置队伍，对各项安全预案定期组织进行演练且有记录。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2）各项中每发现一次不符合的扣1分，扣完为止。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22</w:t>
            </w: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安全生产资金保障与物资储备</w:t>
            </w:r>
          </w:p>
          <w:p>
            <w:pPr>
              <w:widowControl/>
              <w:spacing w:line="276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（3分）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内业资料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现场抽查</w:t>
            </w:r>
          </w:p>
        </w:tc>
        <w:tc>
          <w:tcPr>
            <w:tcW w:w="4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1）建立安全生产投入计划及使用提取台账；建立健全应急物资储备和调用制度，应急物资现场管理规范、保障有力。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2）各项中每发现一次不符合的扣1分，扣完为止。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B11BB"/>
    <w:rsid w:val="788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2021-01-27T03:18:00Z</dcterms:created>
  <dc:creator>微凉</dc:creator>
  <cp:lastModifiedBy>微凉</cp:lastModifiedBy>
  <dcterms:modified xsi:type="dcterms:W3CDTF">2021-01-27T03:19:11Z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