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396" w:lineRule="atLeast"/>
        <w:ind w:firstLine="0" w:firstLineChars="0"/>
        <w:textAlignment w:val="auto"/>
        <w:rPr>
          <w:rFonts w:hint="eastAsia" w:ascii="宋体" w:hAnsi="宋体" w:eastAsia="宋体" w:cs="宋体"/>
          <w:b w:val="0"/>
          <w:bCs w:val="0"/>
          <w:kern w:val="21"/>
          <w:sz w:val="24"/>
          <w:szCs w:val="24"/>
        </w:rPr>
      </w:pPr>
      <w:r>
        <w:rPr>
          <w:rFonts w:hint="eastAsia" w:ascii="宋体" w:hAnsi="宋体" w:eastAsia="宋体" w:cs="宋体"/>
          <w:b w:val="0"/>
          <w:bCs w:val="0"/>
          <w:kern w:val="21"/>
          <w:sz w:val="24"/>
          <w:szCs w:val="24"/>
        </w:rPr>
        <w:t>附件3</w:t>
      </w:r>
    </w:p>
    <w:p>
      <w:pPr>
        <w:pStyle w:val="6"/>
        <w:keepNext w:val="0"/>
        <w:keepLines w:val="0"/>
        <w:pageBreakBefore w:val="0"/>
        <w:widowControl w:val="0"/>
        <w:kinsoku/>
        <w:wordWrap/>
        <w:overflowPunct/>
        <w:topLinePunct w:val="0"/>
        <w:autoSpaceDE/>
        <w:autoSpaceDN/>
        <w:bidi w:val="0"/>
        <w:adjustRightInd/>
        <w:snapToGrid/>
        <w:spacing w:after="158" w:afterLines="50" w:line="0" w:lineRule="atLeast"/>
        <w:jc w:val="center"/>
        <w:textAlignment w:val="auto"/>
        <w:rPr>
          <w:rFonts w:hint="eastAsia" w:ascii="宋体" w:hAnsi="宋体" w:eastAsia="宋体" w:cs="宋体"/>
          <w:b w:val="0"/>
          <w:bCs w:val="0"/>
          <w:kern w:val="21"/>
          <w:sz w:val="36"/>
          <w:szCs w:val="36"/>
        </w:rPr>
      </w:pPr>
      <w:r>
        <w:rPr>
          <w:rFonts w:hint="eastAsia" w:ascii="宋体" w:hAnsi="宋体" w:eastAsia="宋体" w:cs="宋体"/>
          <w:b w:val="0"/>
          <w:bCs w:val="0"/>
          <w:kern w:val="21"/>
          <w:sz w:val="36"/>
          <w:szCs w:val="36"/>
        </w:rPr>
        <w:t>深圳市交通建设工程监理企业信用评价评定标准</w:t>
      </w:r>
    </w:p>
    <w:tbl>
      <w:tblPr>
        <w:tblStyle w:val="4"/>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8"/>
        <w:gridCol w:w="1368"/>
        <w:gridCol w:w="1272"/>
        <w:gridCol w:w="7512"/>
        <w:gridCol w:w="1352"/>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行为代码</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行为描述</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黑体" w:hAnsi="黑体" w:eastAsia="黑体" w:cs="黑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投标行为（满分100分，扣完为止）</w:t>
            </w: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SZJTJL1-1</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超越资质等级承揽工程。</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SZJTJL1-2</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出借资质，允许其他单位或个人以本单位名义投标或承揽工程。</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SZJTJL1-3</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以他人名义投标或弄虚作假骗取中标资格的。</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SZJTJL1-4</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以行贿或其他违法形式骗取中标资格的。</w:t>
            </w:r>
            <w:bookmarkStart w:id="0" w:name="_GoBack"/>
            <w:bookmarkEnd w:id="0"/>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SZJTJL1-5</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存在围标、串标等行为。</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SZJTJL1-6</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法律、法规规定的其他严重违法情形。</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SZJTJL1-7</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资审材料或投标文件虚假未中标。</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SZJTJL1-8</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虚假投诉举报。</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SZJTJL1-9</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中标后无正当理由放弃中标。</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SZJTJL1-10</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资格预审招标，无故放弃投标导致该标段或该次招标流标的。</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SZJTJL1-11</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同一次招标中同一家企业多次报名或购买资格预审文件或招标文件。</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06"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SZJTJL1-12</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无正当理由拖延合同签订时间（因合同谈判原因的除外）。</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履约行为（满分100分</w:t>
            </w:r>
            <w:r>
              <w:rPr>
                <w:rFonts w:hint="eastAsia" w:ascii="宋体" w:hAnsi="宋体" w:eastAsia="宋体" w:cs="宋体"/>
                <w:b w:val="0"/>
                <w:bCs w:val="0"/>
                <w:i w:val="0"/>
                <w:color w:val="000000"/>
                <w:spacing w:val="-4"/>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扣完为止）</w:t>
            </w:r>
          </w:p>
        </w:tc>
        <w:tc>
          <w:tcPr>
            <w:tcW w:w="136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人员到位与管理情况</w:t>
            </w:r>
            <w:r>
              <w:rPr>
                <w:rFonts w:hint="eastAsia" w:ascii="宋体" w:hAnsi="宋体" w:eastAsia="宋体" w:cs="宋体"/>
                <w:b w:val="0"/>
                <w:bCs w:val="0"/>
                <w:i w:val="0"/>
                <w:color w:val="000000"/>
                <w:spacing w:val="-2"/>
                <w:kern w:val="21"/>
                <w:sz w:val="21"/>
                <w:szCs w:val="21"/>
                <w:u w:val="none"/>
                <w:lang w:val="en-US" w:eastAsia="zh-CN" w:bidi="ar"/>
              </w:rPr>
              <w:t>（满分15分</w:t>
            </w:r>
            <w:r>
              <w:rPr>
                <w:rFonts w:hint="eastAsia" w:ascii="宋体" w:hAnsi="宋体" w:eastAsia="宋体" w:cs="宋体"/>
                <w:b w:val="0"/>
                <w:bCs w:val="0"/>
                <w:i w:val="0"/>
                <w:color w:val="000000"/>
                <w:spacing w:val="-6"/>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w:t>
            </w:r>
            <w:r>
              <w:rPr>
                <w:rFonts w:hint="eastAsia" w:ascii="宋体" w:hAnsi="宋体" w:eastAsia="宋体" w:cs="宋体"/>
                <w:b w:val="0"/>
                <w:bCs w:val="0"/>
                <w:i w:val="0"/>
                <w:color w:val="000000"/>
                <w:spacing w:val="0"/>
                <w:kern w:val="21"/>
                <w:sz w:val="21"/>
                <w:szCs w:val="21"/>
                <w:u w:val="none"/>
                <w:lang w:val="en-US" w:eastAsia="zh-CN" w:bidi="ar"/>
              </w:rPr>
              <w:t>止）</w:t>
            </w: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SZJTJL2-1-1</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总监理工程师、副总监理工程师、总监代表、驻地监理工程师、专业监理工程师不能按投标承诺到位的，每发生1人次分别扣4分、3分、2分、1.5分、1分（项目法人要求更换的除外）。</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1－4分/人次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SZJTJL2-1-2</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监理人员更换未经建设单位同意的。</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1分/人次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SZJTJL2-1-3</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无职责分工或分工不明确的，扣1分；监理人员因人员替换造成工作脱节、资料缺失的，每次扣1分；有冒名顶替的，每人次扣2分；在监理人员到位、出勤等问题上有虚假或欺骗行为的，每次扣2分。</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1－2分/次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SZJTJL2-1-4</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监理人员有持假证的，其中持虚假监理资格证的扣4分/人次，持虚假职称证的扣2分/人次，持其他虚假证件的扣1分/人次。</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1－4分/人次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SZJTJL2-1-5</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驻地监理工程师、专业监理工程师未持监理工程师资格证书的，每发生1人次扣3分；监理员未持培训证的，每发生1人次扣1.5分。</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1.5－3分/人次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设施设备到</w:t>
            </w:r>
            <w:r>
              <w:rPr>
                <w:rFonts w:hint="eastAsia" w:ascii="宋体" w:hAnsi="宋体" w:eastAsia="宋体" w:cs="宋体"/>
                <w:b w:val="0"/>
                <w:bCs w:val="0"/>
                <w:i w:val="0"/>
                <w:color w:val="000000"/>
                <w:spacing w:val="-2"/>
                <w:kern w:val="21"/>
                <w:sz w:val="21"/>
                <w:szCs w:val="21"/>
                <w:u w:val="none"/>
                <w:lang w:val="en-US" w:eastAsia="zh-CN" w:bidi="ar"/>
              </w:rPr>
              <w:t>位（满分5分</w:t>
            </w:r>
            <w:r>
              <w:rPr>
                <w:rFonts w:hint="eastAsia" w:ascii="宋体" w:hAnsi="宋体" w:eastAsia="宋体" w:cs="宋体"/>
                <w:b w:val="0"/>
                <w:bCs w:val="0"/>
                <w:i w:val="0"/>
                <w:color w:val="000000"/>
                <w:spacing w:val="-62"/>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扣完为止）</w:t>
            </w:r>
          </w:p>
        </w:tc>
        <w:tc>
          <w:tcPr>
            <w:tcW w:w="127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SZJTJL2-2</w:t>
            </w:r>
          </w:p>
        </w:tc>
        <w:tc>
          <w:tcPr>
            <w:tcW w:w="751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未按合同约定配备试验检测、测量仪器设备的。</w:t>
            </w:r>
          </w:p>
        </w:tc>
        <w:tc>
          <w:tcPr>
            <w:tcW w:w="1352"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1分/缺1件（台）</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62"/>
        <w:gridCol w:w="1410"/>
        <w:gridCol w:w="1365"/>
        <w:gridCol w:w="7230"/>
        <w:gridCol w:w="1275"/>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77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行为类别</w:t>
            </w: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履约行为（满分100分</w:t>
            </w:r>
            <w:r>
              <w:rPr>
                <w:rFonts w:hint="eastAsia" w:ascii="宋体" w:hAnsi="宋体" w:eastAsia="宋体" w:cs="宋体"/>
                <w:b w:val="0"/>
                <w:bCs w:val="0"/>
                <w:i w:val="0"/>
                <w:color w:val="000000"/>
                <w:spacing w:val="-4"/>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扣完为止）</w:t>
            </w:r>
          </w:p>
        </w:tc>
        <w:tc>
          <w:tcPr>
            <w:tcW w:w="141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驻地建设与管理制度（满分5分，扣完为止）</w:t>
            </w: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SZJTJL2-3-1</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总监办无监理合同文件或合同文件不全或监理人员证书不全（包括身份证、学历证、职称证、从业资格证等复印件）的。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SZJTJL2-3-2</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总监办、驻地办建设不满足投标承诺或工作需要的。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1分/处</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SZJTJL2-3-3</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监理中心试验室没有按照投标承诺配备或不满足试验检测工作需要。</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SZJTJL2-3-4</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质量责任制度、安全生产管理制度、廉政制度以及其他主要制度未建立或不全的。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2分/每项</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一般工作情况（满分5分，扣完为止）</w:t>
            </w: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SZJTJL2-4-1</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单位、分部和分项工程（单元）划分不符合规范要求或不合理的。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SZJTJL2-4-2</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工地会议无故不按时召开或工地会议无记录的。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SZJTJL2-4-3</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《监理月报》不按时编发或主要内容不全的。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SZJTJL2-4-4</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《监理日记》记录内容不真实或重要内容未记录的。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SZJTJL2-4-5</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《监理规划》和《监理实施细则》不具有针对性、可操作性或编制不及时的。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SZJTJL2-4-6</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监理档案资料分类不清晰、归档不及时、不完整或保管不完善的。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SZJTJL2-4-7</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不按时向监督部门、建设单位报送有关资料的。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审批承包人质保体系和开工报告（满分5</w:t>
            </w:r>
            <w:r>
              <w:rPr>
                <w:rFonts w:hint="eastAsia" w:ascii="宋体" w:hAnsi="宋体" w:eastAsia="宋体" w:cs="宋体"/>
                <w:b w:val="0"/>
                <w:bCs w:val="0"/>
                <w:i w:val="0"/>
                <w:color w:val="000000"/>
                <w:spacing w:val="-2"/>
                <w:kern w:val="21"/>
                <w:sz w:val="21"/>
                <w:szCs w:val="21"/>
                <w:u w:val="none"/>
                <w:lang w:val="en-US" w:eastAsia="zh-CN" w:bidi="ar"/>
              </w:rPr>
              <w:t>分</w:t>
            </w:r>
            <w:r>
              <w:rPr>
                <w:rFonts w:hint="eastAsia" w:ascii="宋体" w:hAnsi="宋体" w:eastAsia="宋体" w:cs="宋体"/>
                <w:b w:val="0"/>
                <w:bCs w:val="0"/>
                <w:i w:val="0"/>
                <w:color w:val="000000"/>
                <w:spacing w:val="-6"/>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扣完为止</w:t>
            </w:r>
            <w:r>
              <w:rPr>
                <w:rFonts w:hint="eastAsia" w:ascii="宋体" w:hAnsi="宋体" w:eastAsia="宋体" w:cs="宋体"/>
                <w:b w:val="0"/>
                <w:bCs w:val="0"/>
                <w:i w:val="0"/>
                <w:color w:val="000000"/>
                <w:spacing w:val="-62"/>
                <w:kern w:val="21"/>
                <w:sz w:val="21"/>
                <w:szCs w:val="21"/>
                <w:u w:val="none"/>
                <w:lang w:val="en-US" w:eastAsia="zh-CN" w:bidi="ar"/>
              </w:rPr>
              <w:t>）</w:t>
            </w: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SZJTJL2-5-1</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审批承包人质量保证体系或质量负责人，或审批的承包人质量保证体系、质量负责人不符合规范、合同要求的，每有一个施工合同段的扣1分；审批不全，未审批质检员、试验人员的，扣1分；未检查工地试验室或试验检测仪器设备配备不到位的，扣1分；未进行动态管理或管理不到位，导致质量保证体系出现不符合合同要求情况的，扣1分。</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1分/项</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SZJTJL2-5-2</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签认的开工报告，无质量、安全、环保措施，或措施不可行、不可靠的，每次扣2分；经签认的开工报告资料不全的，每次扣1分；由于监理原因，有开工报告未经审批先施工的，每次扣4分。</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1－4分/次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spacing w:val="-3"/>
                <w:kern w:val="21"/>
                <w:sz w:val="21"/>
                <w:szCs w:val="21"/>
                <w:u w:val="none"/>
                <w:lang w:val="en-US" w:eastAsia="zh-CN" w:bidi="ar"/>
              </w:rPr>
              <w:t>材料</w:t>
            </w:r>
            <w:r>
              <w:rPr>
                <w:rFonts w:hint="eastAsia" w:ascii="宋体" w:hAnsi="宋体" w:eastAsia="宋体" w:cs="宋体"/>
                <w:b w:val="0"/>
                <w:bCs w:val="0"/>
                <w:i w:val="0"/>
                <w:color w:val="000000"/>
                <w:spacing w:val="-6"/>
                <w:kern w:val="21"/>
                <w:sz w:val="21"/>
                <w:szCs w:val="21"/>
                <w:u w:val="none"/>
                <w:lang w:val="en-US" w:eastAsia="zh-CN" w:bidi="ar"/>
              </w:rPr>
              <w:t>、</w:t>
            </w:r>
            <w:r>
              <w:rPr>
                <w:rFonts w:hint="eastAsia" w:ascii="宋体" w:hAnsi="宋体" w:eastAsia="宋体" w:cs="宋体"/>
                <w:b w:val="0"/>
                <w:bCs w:val="0"/>
                <w:i w:val="0"/>
                <w:color w:val="000000"/>
                <w:spacing w:val="-3"/>
                <w:kern w:val="21"/>
                <w:sz w:val="21"/>
                <w:szCs w:val="21"/>
                <w:u w:val="none"/>
                <w:lang w:val="en-US" w:eastAsia="zh-CN" w:bidi="ar"/>
              </w:rPr>
              <w:t>工序</w:t>
            </w:r>
            <w:r>
              <w:rPr>
                <w:rFonts w:hint="eastAsia" w:ascii="宋体" w:hAnsi="宋体" w:eastAsia="宋体" w:cs="宋体"/>
                <w:b w:val="0"/>
                <w:bCs w:val="0"/>
                <w:i w:val="0"/>
                <w:color w:val="000000"/>
                <w:spacing w:val="-6"/>
                <w:kern w:val="21"/>
                <w:sz w:val="21"/>
                <w:szCs w:val="21"/>
                <w:u w:val="none"/>
                <w:lang w:val="en-US" w:eastAsia="zh-CN" w:bidi="ar"/>
              </w:rPr>
              <w:t>（</w:t>
            </w:r>
            <w:r>
              <w:rPr>
                <w:rFonts w:hint="eastAsia" w:ascii="宋体" w:hAnsi="宋体" w:eastAsia="宋体" w:cs="宋体"/>
                <w:b w:val="0"/>
                <w:bCs w:val="0"/>
                <w:i w:val="0"/>
                <w:color w:val="000000"/>
                <w:spacing w:val="-3"/>
                <w:kern w:val="21"/>
                <w:sz w:val="21"/>
                <w:szCs w:val="21"/>
                <w:u w:val="none"/>
                <w:lang w:val="en-US" w:eastAsia="zh-CN" w:bidi="ar"/>
              </w:rPr>
              <w:t>含工程实体</w:t>
            </w:r>
            <w:r>
              <w:rPr>
                <w:rFonts w:hint="eastAsia" w:ascii="宋体" w:hAnsi="宋体" w:eastAsia="宋体" w:cs="宋体"/>
                <w:b w:val="0"/>
                <w:bCs w:val="0"/>
                <w:i w:val="0"/>
                <w:color w:val="000000"/>
                <w:spacing w:val="-62"/>
                <w:kern w:val="21"/>
                <w:sz w:val="21"/>
                <w:szCs w:val="21"/>
                <w:u w:val="none"/>
                <w:lang w:val="en-US" w:eastAsia="zh-CN" w:bidi="ar"/>
              </w:rPr>
              <w:t>）</w:t>
            </w:r>
            <w:r>
              <w:rPr>
                <w:rFonts w:hint="eastAsia" w:ascii="宋体" w:hAnsi="宋体" w:eastAsia="宋体" w:cs="宋体"/>
                <w:b w:val="0"/>
                <w:bCs w:val="0"/>
                <w:i w:val="0"/>
                <w:color w:val="000000"/>
                <w:spacing w:val="-3"/>
                <w:kern w:val="21"/>
                <w:sz w:val="21"/>
                <w:szCs w:val="21"/>
                <w:u w:val="none"/>
                <w:lang w:val="en-US" w:eastAsia="zh-CN" w:bidi="ar"/>
              </w:rPr>
              <w:t>抽检情况（满分10分</w:t>
            </w:r>
            <w:r>
              <w:rPr>
                <w:rFonts w:hint="eastAsia" w:ascii="宋体" w:hAnsi="宋体" w:eastAsia="宋体" w:cs="宋体"/>
                <w:b w:val="0"/>
                <w:bCs w:val="0"/>
                <w:i w:val="0"/>
                <w:color w:val="000000"/>
                <w:spacing w:val="-6"/>
                <w:kern w:val="21"/>
                <w:sz w:val="21"/>
                <w:szCs w:val="21"/>
                <w:u w:val="none"/>
                <w:lang w:val="en-US" w:eastAsia="zh-CN" w:bidi="ar"/>
              </w:rPr>
              <w:t>，</w:t>
            </w:r>
            <w:r>
              <w:rPr>
                <w:rFonts w:hint="eastAsia" w:ascii="宋体" w:hAnsi="宋体" w:eastAsia="宋体" w:cs="宋体"/>
                <w:b w:val="0"/>
                <w:bCs w:val="0"/>
                <w:i w:val="0"/>
                <w:color w:val="000000"/>
                <w:spacing w:val="-3"/>
                <w:kern w:val="21"/>
                <w:sz w:val="21"/>
                <w:szCs w:val="21"/>
                <w:u w:val="none"/>
                <w:lang w:val="en-US" w:eastAsia="zh-CN" w:bidi="ar"/>
              </w:rPr>
              <w:t>扣完为止）</w:t>
            </w: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SZJTJL2-6-1</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验证试验和抽样试验频率未达到规定频率低限的。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3分/项</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SZJTJL2-6-2</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对标准试验未按规定独立进行平行复核（对比）试验的。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2分/项</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SZJTJL2-6-3</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工艺试验未按规定审批，但已开始规模施工的。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3分/项</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SZJTJL2-6-4</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工序抽检覆盖率、抽检频率不符合规范要求或不满足质量评定要求的。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2分/项</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SZJTJL2-6-5</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填写不规范、签字不全或随意代签、台账不全的。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1分/项</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36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1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SZJTJL2-6-6</w:t>
            </w:r>
          </w:p>
        </w:tc>
        <w:tc>
          <w:tcPr>
            <w:tcW w:w="72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原始数据不全或无相关人员签认的。</w:t>
            </w:r>
          </w:p>
        </w:tc>
        <w:tc>
          <w:tcPr>
            <w:tcW w:w="127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1分/项</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6"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8"/>
        <w:gridCol w:w="1428"/>
        <w:gridCol w:w="1380"/>
        <w:gridCol w:w="7020"/>
        <w:gridCol w:w="1676"/>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66"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履约行为（满分100分</w:t>
            </w:r>
            <w:r>
              <w:rPr>
                <w:rFonts w:hint="eastAsia" w:ascii="宋体" w:hAnsi="宋体" w:eastAsia="宋体" w:cs="宋体"/>
                <w:b w:val="0"/>
                <w:bCs w:val="0"/>
                <w:i w:val="0"/>
                <w:color w:val="000000"/>
                <w:spacing w:val="-4"/>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扣完为止）</w:t>
            </w:r>
          </w:p>
        </w:tc>
        <w:tc>
          <w:tcPr>
            <w:tcW w:w="142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spacing w:val="-2"/>
                <w:kern w:val="21"/>
                <w:sz w:val="21"/>
                <w:szCs w:val="21"/>
                <w:u w:val="none"/>
                <w:lang w:val="en-US" w:eastAsia="zh-CN" w:bidi="ar"/>
              </w:rPr>
              <w:t>材料、工序</w:t>
            </w:r>
            <w:r>
              <w:rPr>
                <w:rFonts w:hint="eastAsia" w:ascii="宋体" w:hAnsi="宋体" w:eastAsia="宋体" w:cs="宋体"/>
                <w:b w:val="0"/>
                <w:bCs w:val="0"/>
                <w:i w:val="0"/>
                <w:color w:val="000000"/>
                <w:spacing w:val="-4"/>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含工程实体</w:t>
            </w:r>
            <w:r>
              <w:rPr>
                <w:rFonts w:hint="eastAsia" w:ascii="宋体" w:hAnsi="宋体" w:eastAsia="宋体" w:cs="宋体"/>
                <w:b w:val="0"/>
                <w:bCs w:val="0"/>
                <w:i w:val="0"/>
                <w:color w:val="000000"/>
                <w:spacing w:val="-62"/>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抽检情况（满</w:t>
            </w:r>
            <w:r>
              <w:rPr>
                <w:rFonts w:hint="eastAsia" w:ascii="宋体" w:hAnsi="宋体" w:eastAsia="宋体" w:cs="宋体"/>
                <w:b w:val="0"/>
                <w:bCs w:val="0"/>
                <w:i w:val="0"/>
                <w:color w:val="000000"/>
                <w:spacing w:val="-3"/>
                <w:kern w:val="21"/>
                <w:sz w:val="21"/>
                <w:szCs w:val="21"/>
                <w:u w:val="none"/>
                <w:lang w:val="en-US" w:eastAsia="zh-CN" w:bidi="ar"/>
              </w:rPr>
              <w:t>分10分，扣完</w:t>
            </w:r>
            <w:r>
              <w:rPr>
                <w:rFonts w:hint="eastAsia" w:ascii="宋体" w:hAnsi="宋体" w:eastAsia="宋体" w:cs="宋体"/>
                <w:b w:val="0"/>
                <w:bCs w:val="0"/>
                <w:i w:val="0"/>
                <w:color w:val="000000"/>
                <w:spacing w:val="-2"/>
                <w:kern w:val="21"/>
                <w:sz w:val="21"/>
                <w:szCs w:val="21"/>
                <w:u w:val="none"/>
                <w:lang w:val="en-US" w:eastAsia="zh-CN" w:bidi="ar"/>
              </w:rPr>
              <w:t>为止）</w:t>
            </w: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SZJTJL2-6-7</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存在假数据、假资料的。</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5分/项次（项指检查指标项，次指检查次数）</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SZJTJL2-6-8</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将不合格的工程、材料、构件和设备按合格予以签认的。</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SZJTJL2-6-9</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未独立进行核验承包人设置的测量控制网点或基线。</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SZJTJL2-6-10</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中心试验室不能独立或正常运作的，扣5分；超越母体检测机构授权业务范围开展试验检测工作的，每次扣2分；用施工设备或人员做试验的，每次扣2分；接受施工委托的，每次扣2分。</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旁站、巡视、签认情况（满</w:t>
            </w:r>
            <w:r>
              <w:rPr>
                <w:rFonts w:hint="eastAsia" w:ascii="宋体" w:hAnsi="宋体" w:eastAsia="宋体" w:cs="宋体"/>
                <w:b w:val="0"/>
                <w:bCs w:val="0"/>
                <w:i w:val="0"/>
                <w:color w:val="000000"/>
                <w:spacing w:val="-3"/>
                <w:kern w:val="21"/>
                <w:sz w:val="21"/>
                <w:szCs w:val="21"/>
                <w:u w:val="none"/>
                <w:lang w:val="en-US" w:eastAsia="zh-CN" w:bidi="ar"/>
              </w:rPr>
              <w:t>分10分，扣完</w:t>
            </w:r>
            <w:r>
              <w:rPr>
                <w:rFonts w:hint="eastAsia" w:ascii="宋体" w:hAnsi="宋体" w:eastAsia="宋体" w:cs="宋体"/>
                <w:b w:val="0"/>
                <w:bCs w:val="0"/>
                <w:i w:val="0"/>
                <w:color w:val="000000"/>
                <w:kern w:val="21"/>
                <w:sz w:val="21"/>
                <w:szCs w:val="21"/>
                <w:u w:val="none"/>
                <w:lang w:val="en-US" w:eastAsia="zh-CN" w:bidi="ar"/>
              </w:rPr>
              <w:t>为止）</w:t>
            </w: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SZJTJL2-7-1</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旁站不到位的，每次扣1分；虽旁站，但对存在的明显问题未发现或未作相应处理的，每次扣3分。</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SZJTJL2-7-2</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监理工程师巡视不到位，每次扣1分；虽巡视，但对施工中存在的明显问题未能及时发现，或发现了但未及时发出书面指令的，每次扣3分。</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SZJTJL2-7-3</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对逾期未按指令要求整改或整改不彻底，且未采取进一步有效措施的。</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SZJTJL2-7-4</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对整改结果未作现场检查并签认，或者已按监理指令要求整改但书面资料不闭合的。</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SZJTJL2-7-5</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关键工序由非持交通部监理工程师或城乡和住建部注册监理工程师证的人员签认的。</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SZJTJL2-7-6</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未进行桩基子分部、地基与基础分部或主体结构分部验收就进入下一工序施工的。</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SZJTJL2-7-7</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未进行其他分部（桩基子分部、地基与基础分部和主体结构分部除外）验收就进入下一工序施工的。</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计量支付与合同管理（满分</w:t>
            </w:r>
            <w:r>
              <w:rPr>
                <w:rFonts w:hint="eastAsia" w:ascii="宋体" w:hAnsi="宋体" w:eastAsia="宋体" w:cs="宋体"/>
                <w:b w:val="0"/>
                <w:bCs w:val="0"/>
                <w:i w:val="0"/>
                <w:color w:val="000000"/>
                <w:spacing w:val="-3"/>
                <w:kern w:val="21"/>
                <w:sz w:val="21"/>
                <w:szCs w:val="21"/>
                <w:u w:val="none"/>
                <w:lang w:val="en-US" w:eastAsia="zh-CN" w:bidi="ar"/>
              </w:rPr>
              <w:t>5分</w:t>
            </w:r>
            <w:r>
              <w:rPr>
                <w:rFonts w:hint="eastAsia" w:ascii="宋体" w:hAnsi="宋体" w:eastAsia="宋体" w:cs="宋体"/>
                <w:b w:val="0"/>
                <w:bCs w:val="0"/>
                <w:i w:val="0"/>
                <w:color w:val="000000"/>
                <w:spacing w:val="-6"/>
                <w:kern w:val="21"/>
                <w:sz w:val="21"/>
                <w:szCs w:val="21"/>
                <w:u w:val="none"/>
                <w:lang w:val="en-US" w:eastAsia="zh-CN" w:bidi="ar"/>
              </w:rPr>
              <w:t>，</w:t>
            </w:r>
            <w:r>
              <w:rPr>
                <w:rFonts w:hint="eastAsia" w:ascii="宋体" w:hAnsi="宋体" w:eastAsia="宋体" w:cs="宋体"/>
                <w:b w:val="0"/>
                <w:bCs w:val="0"/>
                <w:i w:val="0"/>
                <w:color w:val="000000"/>
                <w:spacing w:val="-3"/>
                <w:kern w:val="21"/>
                <w:sz w:val="21"/>
                <w:szCs w:val="21"/>
                <w:u w:val="none"/>
                <w:lang w:val="en-US" w:eastAsia="zh-CN" w:bidi="ar"/>
              </w:rPr>
              <w:t>扣完为止</w:t>
            </w:r>
            <w:r>
              <w:rPr>
                <w:rFonts w:hint="eastAsia" w:ascii="宋体" w:hAnsi="宋体" w:eastAsia="宋体" w:cs="宋体"/>
                <w:b w:val="0"/>
                <w:bCs w:val="0"/>
                <w:i w:val="0"/>
                <w:color w:val="000000"/>
                <w:spacing w:val="-62"/>
                <w:kern w:val="21"/>
                <w:sz w:val="21"/>
                <w:szCs w:val="21"/>
                <w:u w:val="none"/>
                <w:lang w:val="en-US" w:eastAsia="zh-CN" w:bidi="ar"/>
              </w:rPr>
              <w:t>）</w:t>
            </w: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SZJTJL2-8-1</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资料不完整、签字不齐全尚可弥补的，每次扣1分；基础资料不完整或签字不全，且无法弥补的，每次扣2分；未经授权随意代签的，监理员、专业监理工程师、驻地监理工程师每次分别扣1分、2分、3分；签字造假的，每次扣2分；签认超过规定时限的，第一次扣1分，第二次扣2分，以后每递增一次扣分值递增1分；已签认的工程数量或工程费用存在明显错误的，每次扣2分；经查实，签认的计量支付报表中有虚假材料的，每次扣3分。</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2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8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SZJTJL2-8-2</w:t>
            </w:r>
          </w:p>
        </w:tc>
        <w:tc>
          <w:tcPr>
            <w:tcW w:w="702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未按合同规定程序和要求对分包进行审批的，每次扣2分；对承包人违反合同规定转包、分包未及时作相应处理的，每次扣4分。</w:t>
            </w:r>
          </w:p>
        </w:tc>
        <w:tc>
          <w:tcPr>
            <w:tcW w:w="16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2－4分/次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8"/>
        <w:gridCol w:w="1392"/>
        <w:gridCol w:w="1548"/>
        <w:gridCol w:w="6768"/>
        <w:gridCol w:w="1796"/>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履约行为（满分100分</w:t>
            </w:r>
            <w:r>
              <w:rPr>
                <w:rFonts w:hint="eastAsia" w:ascii="宋体" w:hAnsi="宋体" w:eastAsia="宋体" w:cs="宋体"/>
                <w:b w:val="0"/>
                <w:bCs w:val="0"/>
                <w:i w:val="0"/>
                <w:color w:val="000000"/>
                <w:spacing w:val="-4"/>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扣完为止）</w:t>
            </w:r>
          </w:p>
        </w:tc>
        <w:tc>
          <w:tcPr>
            <w:tcW w:w="13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计量支付与合同管理（满分5分，扣完为止</w:t>
            </w:r>
            <w:r>
              <w:rPr>
                <w:rFonts w:hint="eastAsia" w:ascii="宋体" w:hAnsi="宋体" w:eastAsia="宋体" w:cs="宋体"/>
                <w:b w:val="0"/>
                <w:bCs w:val="0"/>
                <w:i w:val="0"/>
                <w:color w:val="000000"/>
                <w:spacing w:val="-62"/>
                <w:kern w:val="21"/>
                <w:sz w:val="21"/>
                <w:szCs w:val="21"/>
                <w:u w:val="none"/>
                <w:lang w:val="en-US" w:eastAsia="zh-CN" w:bidi="ar"/>
              </w:rPr>
              <w:t>）</w:t>
            </w: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SZJTJL2-8-3</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对设计变更、工程结算等相关造价文件审核不及时或出现明显错误的，视情节轻重扣1－3分/次。</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SZJTJL2-8-4</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未按有关规定对单列的安全防护、文明施工措施费用的使用进行监督的。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进度管理（满分</w:t>
            </w:r>
            <w:r>
              <w:rPr>
                <w:rFonts w:hint="eastAsia" w:ascii="宋体" w:hAnsi="宋体" w:eastAsia="宋体" w:cs="宋体"/>
                <w:b w:val="0"/>
                <w:bCs w:val="0"/>
                <w:i w:val="0"/>
                <w:color w:val="000000"/>
                <w:spacing w:val="-2"/>
                <w:kern w:val="21"/>
                <w:sz w:val="21"/>
                <w:szCs w:val="21"/>
                <w:u w:val="none"/>
                <w:lang w:val="en-US" w:eastAsia="zh-CN" w:bidi="ar"/>
              </w:rPr>
              <w:t>5分</w:t>
            </w:r>
            <w:r>
              <w:rPr>
                <w:rFonts w:hint="eastAsia" w:ascii="宋体" w:hAnsi="宋体" w:eastAsia="宋体" w:cs="宋体"/>
                <w:b w:val="0"/>
                <w:bCs w:val="0"/>
                <w:i w:val="0"/>
                <w:color w:val="000000"/>
                <w:spacing w:val="-6"/>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扣完为止</w:t>
            </w:r>
            <w:r>
              <w:rPr>
                <w:rFonts w:hint="eastAsia" w:ascii="宋体" w:hAnsi="宋体" w:eastAsia="宋体" w:cs="宋体"/>
                <w:b w:val="0"/>
                <w:bCs w:val="0"/>
                <w:i w:val="0"/>
                <w:color w:val="000000"/>
                <w:spacing w:val="-62"/>
                <w:kern w:val="21"/>
                <w:sz w:val="21"/>
                <w:szCs w:val="21"/>
                <w:u w:val="none"/>
                <w:lang w:val="en-US" w:eastAsia="zh-CN" w:bidi="ar"/>
              </w:rPr>
              <w:t>）</w:t>
            </w: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SZJTJL2-9-1</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无月度施工进度计划审核意见；对施工进度计划出现偏差而没有分析原因提出建议。</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SZJTJL2-9-2</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由于监理工作原因，导致受监工程进度滞后：①实际工程进度在计划进度控制曲线下限内的，扣1分；②在计划进度控制曲线下限以外的，扣2分；③工程实际施工期超过合同工期或工程交工日期延误的，扣3分。</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spacing w:val="0"/>
                <w:kern w:val="21"/>
                <w:sz w:val="21"/>
                <w:szCs w:val="21"/>
                <w:u w:val="none"/>
              </w:rPr>
            </w:pPr>
            <w:r>
              <w:rPr>
                <w:rFonts w:hint="eastAsia" w:ascii="宋体" w:hAnsi="宋体" w:eastAsia="宋体" w:cs="宋体"/>
                <w:b w:val="0"/>
                <w:bCs w:val="0"/>
                <w:i w:val="0"/>
                <w:color w:val="000000"/>
                <w:spacing w:val="0"/>
                <w:kern w:val="21"/>
                <w:sz w:val="21"/>
                <w:szCs w:val="21"/>
                <w:u w:val="none"/>
                <w:lang w:val="en-US" w:eastAsia="zh-CN" w:bidi="ar"/>
              </w:rPr>
              <w:t>安全、环保监理合同执行情况（满分10</w:t>
            </w:r>
            <w:r>
              <w:rPr>
                <w:rFonts w:hint="eastAsia" w:ascii="宋体" w:hAnsi="宋体" w:eastAsia="宋体" w:cs="宋体"/>
                <w:b w:val="0"/>
                <w:bCs w:val="0"/>
                <w:i w:val="0"/>
                <w:color w:val="000000"/>
                <w:spacing w:val="-2"/>
                <w:kern w:val="21"/>
                <w:sz w:val="21"/>
                <w:szCs w:val="21"/>
                <w:u w:val="none"/>
                <w:lang w:val="en-US" w:eastAsia="zh-CN" w:bidi="ar"/>
              </w:rPr>
              <w:t>分</w:t>
            </w:r>
            <w:r>
              <w:rPr>
                <w:rFonts w:hint="eastAsia" w:ascii="宋体" w:hAnsi="宋体" w:eastAsia="宋体" w:cs="宋体"/>
                <w:b w:val="0"/>
                <w:bCs w:val="0"/>
                <w:i w:val="0"/>
                <w:color w:val="000000"/>
                <w:spacing w:val="-17"/>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扣完为止</w:t>
            </w:r>
            <w:r>
              <w:rPr>
                <w:rFonts w:hint="eastAsia" w:ascii="宋体" w:hAnsi="宋体" w:eastAsia="宋体" w:cs="宋体"/>
                <w:b w:val="0"/>
                <w:bCs w:val="0"/>
                <w:i w:val="0"/>
                <w:color w:val="000000"/>
                <w:spacing w:val="-62"/>
                <w:kern w:val="21"/>
                <w:sz w:val="21"/>
                <w:szCs w:val="21"/>
                <w:u w:val="none"/>
                <w:lang w:val="en-US" w:eastAsia="zh-CN" w:bidi="ar"/>
              </w:rPr>
              <w:t>）</w:t>
            </w: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在一般质量事故或安全事故中，监理企业负有主要责任的。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10－15分/次（视事故严重程度和责任程度）</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SZJTJL2-10-2</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安全、环保技术措施无监理审批签证的，每次扣1分；现场存在重大安全隐患或环保工作不到位，监理未按程序办理的，每次扣3分；安全事故无记录档案的，每次扣5分。</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SZJTJL2-10-3</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在环保事件中负有责任的（视事故严重程度和责任程度）。</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1－8分/次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SZJTJL2-10-4</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未按要求定期开展“平安工地”自评活动或未按要求对施工合同段进行考评的。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SZJTJL2-10-5</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“平安工地”建设工作效果（项目业主单位根据日常管理情况酌情扣分）。</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1－10分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SZJTJL2-10-6</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监理合同未明确安全生产监理责任条款的。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SZJTJL2-10-7</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施工现场未完善安全生产监理制度的，安全生产监理制度内容不全或现场检查未落实的。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SZJTJL2-10-8</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未对施工现场进行定期和专项安全检查，或未做好安全检查记录，无安全记录或安全记录签字不全的。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SZJTJL2-10-9</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项目监理规划未编制安全监理内容的。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未编制危险性较大的分部分项工程安全监理实施细则的。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SZJTJL2-10-11</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未对变更后的施工组织设计安全技术措施或专项施工方案进行审核、批准。</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SZJTJL2-10-12</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未按规定对应急救援预案进行审查的，无审查记录或审查记录未签字的。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8"/>
        <w:gridCol w:w="1392"/>
        <w:gridCol w:w="1548"/>
        <w:gridCol w:w="6768"/>
        <w:gridCol w:w="1796"/>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履约行为（满分100分</w:t>
            </w:r>
            <w:r>
              <w:rPr>
                <w:rFonts w:hint="eastAsia" w:ascii="宋体" w:hAnsi="宋体" w:eastAsia="宋体" w:cs="宋体"/>
                <w:b w:val="0"/>
                <w:bCs w:val="0"/>
                <w:i w:val="0"/>
                <w:color w:val="000000"/>
                <w:spacing w:val="-4"/>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扣完为止）</w:t>
            </w:r>
          </w:p>
        </w:tc>
        <w:tc>
          <w:tcPr>
            <w:tcW w:w="13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spacing w:val="0"/>
                <w:kern w:val="21"/>
                <w:sz w:val="21"/>
                <w:szCs w:val="21"/>
                <w:u w:val="none"/>
                <w:lang w:val="en-US" w:eastAsia="zh-CN" w:bidi="ar-SA"/>
              </w:rPr>
            </w:pPr>
            <w:r>
              <w:rPr>
                <w:rFonts w:hint="eastAsia" w:ascii="宋体" w:hAnsi="宋体" w:eastAsia="宋体" w:cs="宋体"/>
                <w:b w:val="0"/>
                <w:bCs w:val="0"/>
                <w:i w:val="0"/>
                <w:color w:val="000000"/>
                <w:spacing w:val="0"/>
                <w:kern w:val="21"/>
                <w:sz w:val="21"/>
                <w:szCs w:val="21"/>
                <w:u w:val="none"/>
                <w:lang w:val="en-US" w:eastAsia="zh-CN" w:bidi="ar"/>
              </w:rPr>
              <w:t>安全、环保监理合同执行情况（满分10</w:t>
            </w:r>
            <w:r>
              <w:rPr>
                <w:rFonts w:hint="eastAsia" w:ascii="宋体" w:hAnsi="宋体" w:eastAsia="宋体" w:cs="宋体"/>
                <w:b w:val="0"/>
                <w:bCs w:val="0"/>
                <w:i w:val="0"/>
                <w:color w:val="000000"/>
                <w:spacing w:val="-2"/>
                <w:kern w:val="21"/>
                <w:sz w:val="21"/>
                <w:szCs w:val="21"/>
                <w:u w:val="none"/>
                <w:lang w:val="en-US" w:eastAsia="zh-CN" w:bidi="ar"/>
              </w:rPr>
              <w:t>分</w:t>
            </w:r>
            <w:r>
              <w:rPr>
                <w:rFonts w:hint="eastAsia" w:ascii="宋体" w:hAnsi="宋体" w:eastAsia="宋体" w:cs="宋体"/>
                <w:b w:val="0"/>
                <w:bCs w:val="0"/>
                <w:i w:val="0"/>
                <w:color w:val="000000"/>
                <w:spacing w:val="-17"/>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扣完为止</w:t>
            </w:r>
            <w:r>
              <w:rPr>
                <w:rFonts w:hint="eastAsia" w:ascii="宋体" w:hAnsi="宋体" w:eastAsia="宋体" w:cs="宋体"/>
                <w:b w:val="0"/>
                <w:bCs w:val="0"/>
                <w:i w:val="0"/>
                <w:color w:val="000000"/>
                <w:spacing w:val="-62"/>
                <w:kern w:val="21"/>
                <w:sz w:val="21"/>
                <w:szCs w:val="21"/>
                <w:u w:val="none"/>
                <w:lang w:val="en-US" w:eastAsia="zh-CN" w:bidi="ar"/>
              </w:rPr>
              <w:t>）</w:t>
            </w: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SZJTJL2-10-13</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未按规定审查施工企业资质（含专业承包、劳务分包）和安全生产许可证，“三类人员”考核合格证书的，无审查记录或审查记录未签字的。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SZJTJL2-10-14</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未按规定审核施工现场特种作业人员的特种作业操作资格证书，无审核记录或审核记录未签字的。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SZJTJL2-10-15</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未按规定审核建筑起重机械特种设备制造许可证、产品合格证、制造监督检验证明、备案证明等文件的，无审核记录或审核记录未签字的。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SZJTJL2-10-16</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未按规定审核建筑起重机械安装单位、使用单位的资质证书、安全生产许可证等，无审核记录或审核记录未签字的。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SZJTJL2-10-17</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对危险性较大分部分项工程未按规定组织验收的，无验收记录或验收记录未签字的。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SZJTJL2-10-18</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未按规定核查施工现场施工起重机械、脚手架、模板等设施和安全设施的验收手续的，无验收记录或验收记录未签字的。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SZJTJL2-10-19</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未按项目监理规划和安全监理实施细则实施安全监理的，在现场巡查或安全检查时每发现一次进行扣分。</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SZJTJL2-10-20</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发现质量安全事故隐患未及时要求施工单位整改或者暂时停止施工的，现场发现隐患24小时后，监理为发出整改令及未在现场叫停的。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7"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廉政合同执行</w:t>
            </w:r>
            <w:r>
              <w:rPr>
                <w:rFonts w:hint="eastAsia" w:ascii="宋体" w:hAnsi="宋体" w:eastAsia="宋体" w:cs="宋体"/>
                <w:b w:val="0"/>
                <w:bCs w:val="0"/>
                <w:i w:val="0"/>
                <w:color w:val="000000"/>
                <w:spacing w:val="-2"/>
                <w:kern w:val="21"/>
                <w:sz w:val="21"/>
                <w:szCs w:val="21"/>
                <w:u w:val="none"/>
                <w:lang w:val="en-US" w:eastAsia="zh-CN" w:bidi="ar"/>
              </w:rPr>
              <w:t>情况（满分10分</w:t>
            </w:r>
            <w:r>
              <w:rPr>
                <w:rFonts w:hint="eastAsia" w:ascii="宋体" w:hAnsi="宋体" w:eastAsia="宋体" w:cs="宋体"/>
                <w:b w:val="0"/>
                <w:bCs w:val="0"/>
                <w:i w:val="0"/>
                <w:color w:val="000000"/>
                <w:spacing w:val="-17"/>
                <w:kern w:val="21"/>
                <w:sz w:val="21"/>
                <w:szCs w:val="21"/>
                <w:u w:val="none"/>
                <w:lang w:val="en-US" w:eastAsia="zh-CN" w:bidi="ar"/>
              </w:rPr>
              <w:t>，</w:t>
            </w:r>
            <w:r>
              <w:rPr>
                <w:rFonts w:hint="eastAsia" w:ascii="宋体" w:hAnsi="宋体" w:eastAsia="宋体" w:cs="宋体"/>
                <w:b w:val="0"/>
                <w:bCs w:val="0"/>
                <w:i w:val="0"/>
                <w:color w:val="000000"/>
                <w:spacing w:val="-2"/>
                <w:kern w:val="21"/>
                <w:sz w:val="21"/>
                <w:szCs w:val="21"/>
                <w:u w:val="none"/>
                <w:lang w:val="en-US" w:eastAsia="zh-CN" w:bidi="ar"/>
              </w:rPr>
              <w:t>扣完为止</w:t>
            </w:r>
            <w:r>
              <w:rPr>
                <w:rFonts w:hint="eastAsia" w:ascii="宋体" w:hAnsi="宋体" w:eastAsia="宋体" w:cs="宋体"/>
                <w:b w:val="0"/>
                <w:bCs w:val="0"/>
                <w:i w:val="0"/>
                <w:color w:val="000000"/>
                <w:spacing w:val="-62"/>
                <w:kern w:val="21"/>
                <w:sz w:val="21"/>
                <w:szCs w:val="21"/>
                <w:u w:val="none"/>
                <w:lang w:val="en-US" w:eastAsia="zh-CN" w:bidi="ar"/>
              </w:rPr>
              <w:t>）</w:t>
            </w: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SZJTJL2-11-1</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经查实，监理人员有吃拿卡要行为的。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2分/人次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SZJTJL2-11-2</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监理人员有行贿或受贿行为，被有关部门查处的。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5分/人次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整改情况（满分10分，扣完为止）</w:t>
            </w: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SZJTJL2-12-1</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对各级单位检查发现问题未及时整改的或整改不到位的。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1－10分/次（视情节严重程度）</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SZJTJL2-12-2</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施工企业因施工质量原因被市交通运输主管部门或质监站责令限期整改后，未督促其落实整改，并反馈整改情况的。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SZJTJL2-12-3</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施工企业被建设行政主管部门或安监机构责令停工整改后，施工单位强行施工，被再次责令停工整改，施工单位仍继续施工，未及时向建设行政主管部门报告。</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54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SZJTJL2-12-4</w:t>
            </w:r>
          </w:p>
        </w:tc>
        <w:tc>
          <w:tcPr>
            <w:tcW w:w="67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施工企业对项目监理部发出的整改通知书拒不整改，未及时向有关主管部门报告的。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17" w:beforeLines="5" w:after="17" w:afterLines="5" w:line="272"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auto"/>
        <w:textAlignment w:val="auto"/>
      </w:pPr>
    </w:p>
    <w:tbl>
      <w:tblPr>
        <w:tblStyle w:val="4"/>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8"/>
        <w:gridCol w:w="1392"/>
        <w:gridCol w:w="1440"/>
        <w:gridCol w:w="6876"/>
        <w:gridCol w:w="1796"/>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行为类别</w:t>
            </w: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履约行为（满分100分</w:t>
            </w:r>
            <w:r>
              <w:rPr>
                <w:rFonts w:hint="eastAsia" w:ascii="宋体" w:hAnsi="宋体" w:eastAsia="宋体" w:cs="宋体"/>
                <w:b w:val="0"/>
                <w:bCs w:val="0"/>
                <w:i w:val="0"/>
                <w:color w:val="000000"/>
                <w:spacing w:val="-4"/>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扣完为止）</w:t>
            </w:r>
          </w:p>
        </w:tc>
        <w:tc>
          <w:tcPr>
            <w:tcW w:w="13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监理工作效果（满分5分，扣完为止）</w:t>
            </w: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SZJTJL2-13-1</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监理现场工作效果（项目建设单位根据监理日常工作综合表现酌情扣分）</w:t>
            </w:r>
            <w:r>
              <w:rPr>
                <w:rFonts w:hint="eastAsia" w:ascii="宋体" w:hAnsi="宋体" w:eastAsia="宋体" w:cs="宋体"/>
                <w:b w:val="0"/>
                <w:bCs w:val="0"/>
                <w:i w:val="0"/>
                <w:color w:val="000000"/>
                <w:spacing w:val="-62"/>
                <w:kern w:val="21"/>
                <w:sz w:val="21"/>
                <w:szCs w:val="21"/>
                <w:u w:val="none"/>
                <w:lang w:val="en-US" w:eastAsia="zh-CN" w:bidi="ar"/>
              </w:rPr>
              <w:t>。</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1－5分/次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SZJTJL2-13-2</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在一般质量事故中，监理企业负有主要责任的（视事故严重程度和责任程度扣分）。</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3－5分/次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11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392"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SZJTJL2-13-3</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监理工作不到位，在所监理项目中未发现并报告施工单位存在的转包、违法分包情况。</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2分/次</w:t>
            </w:r>
          </w:p>
        </w:tc>
        <w:tc>
          <w:tcPr>
            <w:tcW w:w="566" w:type="dxa"/>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其他失信行为（在企业总分中扣分；针对同一事件的扣分按最高分值只计一次）</w:t>
            </w: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SZJTJL3-1</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将中标合同转让。</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SZJTJL3-2</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在重大质量事故或较大及以上等级安全事故中，监理企业负有主要责任的。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SZJTJL3-3</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被司法机关认定有行贿、受贿行为，并构成犯罪。</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SZJTJL3-4</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在申请资质许可、定期检验、资质复查及变更等过程中采用弄虚作假等手段获取监理资质的。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SZJTJL3-5</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违法分包、转包工程监理工作，被查证属实的。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直接定为D级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SZJTJL3-6</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由于单位自身原因，应参加信用评价但未按要求提交相关评价资料申请参加信用评价的。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直接定为C级</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SZJTJL3-7</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被深圳市交通运输主管部门、质量监督机构或相关部门通报批评的。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SZJTJL3-8</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信用评价工作中弄虚作假或以不正当手段骗取较高信用等级。</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扣4分/次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SZJTJL3-9</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评价年度内，在深圳市交通运输局监管范围内项目的监理从业单位，所监理项目发生安全生产责任事故的，扣0.5分×事故起数×死亡人数。</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扣0.5分×事故起数×死亡人数</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SZJTJL3-10</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与被监理工程的施工承包单位以及建筑材料、建筑构配件和设备供应单位有隶属关系或者其他利害关系承担该项建设工程的监理业务的。</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扣3分/次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SZJTJL3-11</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总监理工程师、监理工程师指定或者暗示使用某一供应商的建筑材料、建筑构配件和设备；利用职权故意刁难供应商或者承包商，向利益相关人索要财物。</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扣5分/次</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良好信誉行为（在企业总分增加，针对同一事件的表彰内容，不累加，取最高加分值）</w:t>
            </w: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SZJTJL4-1</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评价年度内，在项目建设过程中表现突出，获得市、区级交通运输主管部门通报表彰（含表扬、感谢）。</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加0.5－1分/次（区级0.5分/次</w:t>
            </w:r>
            <w:r>
              <w:rPr>
                <w:rFonts w:hint="eastAsia" w:ascii="宋体" w:hAnsi="宋体" w:eastAsia="宋体" w:cs="宋体"/>
                <w:b w:val="0"/>
                <w:bCs w:val="0"/>
                <w:i w:val="0"/>
                <w:color w:val="000000"/>
                <w:spacing w:val="-62"/>
                <w:kern w:val="21"/>
                <w:sz w:val="21"/>
                <w:szCs w:val="21"/>
                <w:u w:val="none"/>
                <w:lang w:val="en-US" w:eastAsia="zh-CN" w:bidi="ar"/>
              </w:rPr>
              <w:t>，</w:t>
            </w:r>
            <w:r>
              <w:rPr>
                <w:rFonts w:hint="eastAsia" w:ascii="宋体" w:hAnsi="宋体" w:eastAsia="宋体" w:cs="宋体"/>
                <w:b w:val="0"/>
                <w:bCs w:val="0"/>
                <w:i w:val="0"/>
                <w:color w:val="000000"/>
                <w:kern w:val="21"/>
                <w:sz w:val="21"/>
                <w:szCs w:val="21"/>
                <w:u w:val="none"/>
                <w:lang w:val="en-US" w:eastAsia="zh-CN" w:bidi="ar"/>
              </w:rPr>
              <w:t>市级1分/次，最高限值3分）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gridSpan w:val="2"/>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SZJTJL4-2</w:t>
            </w:r>
          </w:p>
        </w:tc>
        <w:tc>
          <w:tcPr>
            <w:tcW w:w="687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评价年度内，从业单位作为主要单位承担的深圳市交通建设工程项目或科研课题获得国家科技进步奖（二等奖以上）、国家优质工程奖、詹天佑奖、鲁班奖、李春奖。</w:t>
            </w:r>
          </w:p>
        </w:tc>
        <w:tc>
          <w:tcPr>
            <w:tcW w:w="179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加1分（最高限值5分）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before="7" w:beforeLines="2" w:after="7" w:afterLines="2" w:line="264"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4"/>
        <w:tblW w:w="132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30"/>
        <w:gridCol w:w="1440"/>
        <w:gridCol w:w="5304"/>
        <w:gridCol w:w="3368"/>
        <w:gridCol w:w="5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行为类别</w:t>
            </w: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行为代码</w:t>
            </w:r>
          </w:p>
        </w:tc>
        <w:tc>
          <w:tcPr>
            <w:tcW w:w="53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行为描述</w:t>
            </w:r>
          </w:p>
        </w:tc>
        <w:tc>
          <w:tcPr>
            <w:tcW w:w="33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lang w:val="en-US" w:eastAsia="zh-CN" w:bidi="ar"/>
              </w:rPr>
            </w:pPr>
            <w:r>
              <w:rPr>
                <w:rFonts w:hint="eastAsia" w:ascii="黑体" w:hAnsi="黑体" w:eastAsia="黑体" w:cs="黑体"/>
                <w:b w:val="0"/>
                <w:bCs w:val="0"/>
                <w:i w:val="0"/>
                <w:color w:val="000000"/>
                <w:kern w:val="21"/>
                <w:sz w:val="21"/>
                <w:szCs w:val="21"/>
                <w:u w:val="none"/>
                <w:lang w:val="en-US" w:eastAsia="zh-CN" w:bidi="ar"/>
              </w:rPr>
              <w:t>扣分标准</w:t>
            </w:r>
          </w:p>
        </w:tc>
        <w:tc>
          <w:tcPr>
            <w:tcW w:w="56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黑体" w:hAnsi="黑体" w:eastAsia="黑体" w:cs="黑体"/>
                <w:b w:val="0"/>
                <w:bCs w:val="0"/>
                <w:i w:val="0"/>
                <w:color w:val="000000"/>
                <w:kern w:val="21"/>
                <w:sz w:val="21"/>
                <w:szCs w:val="21"/>
                <w:u w:val="none"/>
                <w:lang w:val="en-US" w:eastAsia="zh-CN" w:bidi="ar"/>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 w:beforeLines="2" w:after="7" w:afterLines="2" w:line="264"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lang w:val="en-US" w:eastAsia="zh-CN" w:bidi="ar-SA"/>
              </w:rPr>
            </w:pPr>
            <w:r>
              <w:rPr>
                <w:rFonts w:hint="eastAsia" w:ascii="宋体" w:hAnsi="宋体" w:eastAsia="宋体" w:cs="宋体"/>
                <w:b w:val="0"/>
                <w:bCs w:val="0"/>
                <w:i w:val="0"/>
                <w:color w:val="000000"/>
                <w:kern w:val="21"/>
                <w:sz w:val="21"/>
                <w:szCs w:val="21"/>
                <w:u w:val="none"/>
                <w:lang w:val="en-US" w:eastAsia="zh-CN" w:bidi="ar"/>
              </w:rPr>
              <w:t>良好信誉行为（在企业总分增加，针对同一事件的表彰内容，不累加，取最高加分值）</w:t>
            </w: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SZJTJL4-3</w:t>
            </w:r>
          </w:p>
        </w:tc>
        <w:tc>
          <w:tcPr>
            <w:tcW w:w="53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评价年度内，从业单位作为主要单位承担的深圳市交通建设工程项目或科研课题获得广东省建设工程金匠奖、广东省建设工程优质奖。</w:t>
            </w:r>
          </w:p>
        </w:tc>
        <w:tc>
          <w:tcPr>
            <w:tcW w:w="33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加0.5分/次（最高限值2分）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SZJTJL4-4</w:t>
            </w:r>
          </w:p>
        </w:tc>
        <w:tc>
          <w:tcPr>
            <w:tcW w:w="53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评价年度内，从业单位作为牵头单位或主要技术支撑单位开展BIM数字化应用获得奖项的。</w:t>
            </w:r>
          </w:p>
        </w:tc>
        <w:tc>
          <w:tcPr>
            <w:tcW w:w="33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加0.5－1.5分/次（市级奖项0.5分/项，最高限值2分。省级奖项1分/项，最高限值4分。部级奖项1.5分/项，最高限值6分）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83" w:hRule="atLeast"/>
          <w:jc w:val="center"/>
        </w:trPr>
        <w:tc>
          <w:tcPr>
            <w:tcW w:w="2530"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c>
          <w:tcPr>
            <w:tcW w:w="144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center"/>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SZJTJL4-5</w:t>
            </w:r>
          </w:p>
        </w:tc>
        <w:tc>
          <w:tcPr>
            <w:tcW w:w="530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评价年度内，作为监理单位参建项目被深圳市交通运输局推选主办会议观摩、推广的工地。</w:t>
            </w:r>
          </w:p>
        </w:tc>
        <w:tc>
          <w:tcPr>
            <w:tcW w:w="33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60" w:lineRule="exact"/>
              <w:ind w:left="-63" w:leftChars="-30" w:right="-63" w:rightChars="-30"/>
              <w:jc w:val="both"/>
              <w:textAlignment w:val="center"/>
              <w:rPr>
                <w:rFonts w:hint="eastAsia" w:ascii="宋体" w:hAnsi="宋体" w:eastAsia="宋体" w:cs="宋体"/>
                <w:b w:val="0"/>
                <w:bCs w:val="0"/>
                <w:i w:val="0"/>
                <w:color w:val="000000"/>
                <w:kern w:val="21"/>
                <w:sz w:val="21"/>
                <w:szCs w:val="21"/>
                <w:u w:val="none"/>
              </w:rPr>
            </w:pPr>
            <w:r>
              <w:rPr>
                <w:rFonts w:hint="eastAsia" w:ascii="宋体" w:hAnsi="宋体" w:eastAsia="宋体" w:cs="宋体"/>
                <w:b w:val="0"/>
                <w:bCs w:val="0"/>
                <w:i w:val="0"/>
                <w:color w:val="000000"/>
                <w:kern w:val="21"/>
                <w:sz w:val="21"/>
                <w:szCs w:val="21"/>
                <w:u w:val="none"/>
                <w:lang w:val="en-US" w:eastAsia="zh-CN" w:bidi="ar"/>
              </w:rPr>
              <w:t>加1分每个（最高限值2分）</w:t>
            </w:r>
          </w:p>
        </w:tc>
        <w:tc>
          <w:tcPr>
            <w:tcW w:w="566"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after="0" w:afterLines="0" w:line="260" w:lineRule="exact"/>
              <w:ind w:left="-63" w:leftChars="-30" w:right="-63" w:rightChars="-30"/>
              <w:jc w:val="both"/>
              <w:rPr>
                <w:rFonts w:hint="eastAsia" w:ascii="宋体" w:hAnsi="宋体" w:eastAsia="宋体" w:cs="宋体"/>
                <w:b w:val="0"/>
                <w:bCs w:val="0"/>
                <w:i w:val="0"/>
                <w:color w:val="000000"/>
                <w:kern w:val="21"/>
                <w:sz w:val="21"/>
                <w:szCs w:val="21"/>
                <w:u w:val="none"/>
              </w:rPr>
            </w:pPr>
          </w:p>
        </w:tc>
      </w:tr>
    </w:tbl>
    <w:p>
      <w:pPr>
        <w:pStyle w:val="6"/>
        <w:keepNext w:val="0"/>
        <w:keepLines w:val="0"/>
        <w:pageBreakBefore w:val="0"/>
        <w:widowControl w:val="0"/>
        <w:kinsoku/>
        <w:wordWrap/>
        <w:overflowPunct/>
        <w:topLinePunct w:val="0"/>
        <w:autoSpaceDE/>
        <w:autoSpaceDN/>
        <w:bidi w:val="0"/>
        <w:adjustRightInd w:val="0"/>
        <w:snapToGrid w:val="0"/>
        <w:spacing w:before="95" w:beforeLines="30" w:line="260" w:lineRule="exact"/>
        <w:ind w:left="-63" w:leftChars="-30" w:right="-63" w:rightChars="-30" w:firstLine="0" w:firstLineChars="0"/>
        <w:jc w:val="both"/>
        <w:textAlignment w:val="auto"/>
        <w:rPr>
          <w:rFonts w:hint="eastAsia" w:ascii="楷体_GB2312" w:hAnsi="楷体_GB2312" w:eastAsia="楷体_GB2312" w:cs="楷体_GB2312"/>
          <w:b w:val="0"/>
          <w:bCs w:val="0"/>
          <w:kern w:val="21"/>
          <w:sz w:val="21"/>
          <w:szCs w:val="21"/>
        </w:rPr>
      </w:pPr>
      <w:r>
        <w:rPr>
          <w:rFonts w:hint="eastAsia" w:ascii="楷体_GB2312" w:hAnsi="楷体_GB2312" w:eastAsia="楷体_GB2312" w:cs="楷体_GB2312"/>
          <w:b w:val="0"/>
          <w:bCs w:val="0"/>
          <w:kern w:val="21"/>
          <w:sz w:val="21"/>
          <w:szCs w:val="21"/>
        </w:rPr>
        <w:t>注：表中所列不良行为扣分项经多次要求书面整改未整改的按照每超出整改时间相同天数再扣一次分数累计。</w:t>
      </w:r>
    </w:p>
    <w:p>
      <w:pPr>
        <w:pStyle w:val="6"/>
        <w:keepNext w:val="0"/>
        <w:keepLines w:val="0"/>
        <w:pageBreakBefore w:val="0"/>
        <w:widowControl w:val="0"/>
        <w:kinsoku/>
        <w:wordWrap/>
        <w:overflowPunct/>
        <w:topLinePunct w:val="0"/>
        <w:autoSpaceDE/>
        <w:autoSpaceDN/>
        <w:bidi w:val="0"/>
        <w:adjustRightInd w:val="0"/>
        <w:snapToGrid w:val="0"/>
        <w:spacing w:line="396" w:lineRule="exact"/>
        <w:ind w:left="-63" w:leftChars="-30" w:right="-63" w:rightChars="-30"/>
        <w:jc w:val="both"/>
        <w:textAlignment w:val="auto"/>
        <w:rPr>
          <w:rFonts w:hint="eastAsia" w:ascii="宋体" w:hAnsi="宋体" w:eastAsia="宋体" w:cs="宋体"/>
          <w:b w:val="0"/>
          <w:bCs w:val="0"/>
          <w:kern w:val="21"/>
          <w:sz w:val="21"/>
          <w:szCs w:val="21"/>
        </w:rPr>
      </w:pPr>
    </w:p>
    <w:p/>
    <w:sectPr>
      <w:pgSz w:w="16838" w:h="11906" w:orient="landscape"/>
      <w:pgMar w:top="1417" w:right="1843" w:bottom="1417" w:left="18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5D6B727C"/>
    <w:rsid w:val="40F14975"/>
    <w:rsid w:val="5D6B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qFormat/>
    <w:uiPriority w:val="0"/>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2023-09-20T03:56:00Z</dcterms:created>
  <dc:creator>龙瑶</dc:creator>
  <cp:lastModifiedBy>办公室1115</cp:lastModifiedBy>
  <dcterms:modified xsi:type="dcterms:W3CDTF">2023-09-25T03:24:19Z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77F12AF151A748D6AEDA26F753A9B9E0_11</vt:lpwstr>
  </property>
</Properties>
</file>