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Calibri" w:eastAsia="方正小标宋简体"/>
          <w:sz w:val="44"/>
          <w:szCs w:val="44"/>
        </w:rPr>
      </w:pPr>
      <w:r>
        <w:rPr>
          <w:rFonts w:hint="eastAsia" w:ascii="方正小标宋简体" w:hAnsi="Calibri" w:eastAsia="方正小标宋简体"/>
          <w:sz w:val="44"/>
          <w:szCs w:val="44"/>
        </w:rPr>
        <w:t>市政协七届一次会议第</w:t>
      </w:r>
      <w:r>
        <w:rPr>
          <w:rFonts w:hint="eastAsia" w:ascii="方正小标宋简体" w:eastAsia="方正小标宋简体"/>
          <w:sz w:val="44"/>
          <w:szCs w:val="44"/>
        </w:rPr>
        <w:t>20210290</w:t>
      </w:r>
      <w:r>
        <w:rPr>
          <w:rFonts w:hint="eastAsia" w:ascii="方正小标宋简体" w:hAnsi="Calibri" w:eastAsia="方正小标宋简体"/>
          <w:sz w:val="44"/>
          <w:szCs w:val="44"/>
        </w:rPr>
        <w:t>号提案</w:t>
      </w:r>
    </w:p>
    <w:p/>
    <w:tbl>
      <w:tblPr>
        <w:tblStyle w:val="8"/>
        <w:tblW w:w="82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8"/>
        <w:gridCol w:w="68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418" w:type="dxa"/>
          </w:tcPr>
          <w:p>
            <w:pPr>
              <w:rPr>
                <w:color w:val="000000" w:themeColor="text1"/>
              </w:rPr>
            </w:pPr>
            <w:r>
              <w:rPr>
                <w:rFonts w:hint="eastAsia" w:ascii="黑体" w:eastAsia="黑体"/>
                <w:color w:val="000000" w:themeColor="text1"/>
                <w:sz w:val="28"/>
              </w:rPr>
              <w:t>标    题：</w:t>
            </w:r>
          </w:p>
        </w:tc>
        <w:tc>
          <w:tcPr>
            <w:tcW w:w="6804" w:type="dxa"/>
          </w:tcPr>
          <w:p>
            <w:pPr>
              <w:rPr>
                <w:rFonts w:ascii="仿宋_GB2312" w:hAnsi="华文仿宋" w:eastAsia="仿宋_GB2312"/>
                <w:color w:val="000000" w:themeColor="text1"/>
                <w:sz w:val="32"/>
                <w:szCs w:val="32"/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32"/>
                <w:szCs w:val="32"/>
              </w:rPr>
              <w:t>关于文明城市智慧先行，大数据平台推动精准停车的提案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418" w:type="dxa"/>
          </w:tcPr>
          <w:p>
            <w:pPr>
              <w:tabs>
                <w:tab w:val="left" w:pos="810"/>
              </w:tabs>
              <w:rPr>
                <w:color w:val="000000" w:themeColor="text1"/>
              </w:rPr>
            </w:pPr>
            <w:r>
              <w:rPr>
                <w:rFonts w:hint="eastAsia" w:ascii="黑体" w:eastAsia="黑体"/>
                <w:color w:val="000000" w:themeColor="text1"/>
                <w:sz w:val="28"/>
              </w:rPr>
              <w:t>提 出 人：</w:t>
            </w:r>
          </w:p>
        </w:tc>
        <w:tc>
          <w:tcPr>
            <w:tcW w:w="6804" w:type="dxa"/>
          </w:tcPr>
          <w:p>
            <w:pPr>
              <w:rPr>
                <w:rFonts w:ascii="仿宋_GB2312" w:hAnsi="华文仿宋" w:eastAsia="仿宋_GB2312"/>
                <w:color w:val="000000" w:themeColor="text1"/>
                <w:sz w:val="32"/>
                <w:szCs w:val="32"/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32"/>
                <w:szCs w:val="32"/>
              </w:rPr>
              <w:t>谢文浩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418" w:type="dxa"/>
          </w:tcPr>
          <w:p>
            <w:pPr>
              <w:rPr>
                <w:color w:val="000000" w:themeColor="text1"/>
              </w:rPr>
            </w:pPr>
            <w:r>
              <w:rPr>
                <w:rFonts w:hint="eastAsia" w:ascii="黑体" w:eastAsia="黑体"/>
                <w:color w:val="000000" w:themeColor="text1"/>
                <w:sz w:val="28"/>
              </w:rPr>
              <w:t>办理类型：</w:t>
            </w:r>
          </w:p>
        </w:tc>
        <w:tc>
          <w:tcPr>
            <w:tcW w:w="6804" w:type="dxa"/>
          </w:tcPr>
          <w:p>
            <w:pPr>
              <w:rPr>
                <w:rFonts w:ascii="仿宋_GB2312" w:hAnsi="华文仿宋" w:eastAsia="仿宋_GB2312"/>
                <w:color w:val="000000" w:themeColor="text1"/>
                <w:sz w:val="32"/>
                <w:szCs w:val="32"/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32"/>
                <w:szCs w:val="32"/>
              </w:rPr>
              <w:t>主办会办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418" w:type="dxa"/>
          </w:tcPr>
          <w:p>
            <w:pPr>
              <w:ind w:left="1400" w:hanging="1400" w:hangingChars="500"/>
              <w:rPr>
                <w:rFonts w:ascii="Times New Roman" w:eastAsia="华文仿宋"/>
                <w:color w:val="000000" w:themeColor="text1"/>
                <w:sz w:val="28"/>
              </w:rPr>
            </w:pPr>
            <w:r>
              <w:rPr>
                <w:rFonts w:hint="eastAsia" w:ascii="黑体" w:eastAsia="黑体"/>
                <w:color w:val="000000" w:themeColor="text1"/>
                <w:sz w:val="28"/>
              </w:rPr>
              <w:t>主办单位：</w:t>
            </w:r>
          </w:p>
        </w:tc>
        <w:tc>
          <w:tcPr>
            <w:tcW w:w="6804" w:type="dxa"/>
          </w:tcPr>
          <w:p>
            <w:pPr>
              <w:rPr>
                <w:rFonts w:ascii="仿宋_GB2312" w:hAnsi="华文仿宋" w:eastAsia="仿宋_GB2312"/>
                <w:color w:val="000000" w:themeColor="text1"/>
                <w:sz w:val="32"/>
                <w:szCs w:val="32"/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32"/>
                <w:szCs w:val="32"/>
              </w:rPr>
              <w:t>市交通运输局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418" w:type="dxa"/>
          </w:tcPr>
          <w:p>
            <w:pPr>
              <w:ind w:left="1400" w:hanging="1400" w:hangingChars="500"/>
              <w:rPr>
                <w:rFonts w:ascii="Times New Roman" w:eastAsia="华文仿宋"/>
                <w:color w:val="000000" w:themeColor="text1"/>
                <w:sz w:val="28"/>
              </w:rPr>
            </w:pPr>
            <w:r>
              <w:rPr>
                <w:rFonts w:hint="eastAsia" w:ascii="黑体" w:eastAsia="黑体"/>
                <w:color w:val="000000" w:themeColor="text1"/>
                <w:sz w:val="28"/>
              </w:rPr>
              <w:t>会办单位：</w:t>
            </w:r>
          </w:p>
        </w:tc>
        <w:tc>
          <w:tcPr>
            <w:tcW w:w="6804" w:type="dxa"/>
          </w:tcPr>
          <w:p>
            <w:pPr>
              <w:rPr>
                <w:rFonts w:ascii="仿宋_GB2312" w:hAnsi="华文仿宋" w:eastAsia="仿宋_GB2312"/>
                <w:color w:val="000000" w:themeColor="text1"/>
                <w:sz w:val="32"/>
                <w:szCs w:val="32"/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32"/>
                <w:szCs w:val="32"/>
              </w:rPr>
              <w:t>市公安局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222" w:type="dxa"/>
            <w:gridSpan w:val="2"/>
          </w:tcPr>
          <w:p>
            <w:pPr>
              <w:rPr>
                <w:rFonts w:ascii="华文仿宋" w:hAnsi="华文仿宋" w:eastAsia="华文仿宋"/>
                <w:color w:val="000000" w:themeColor="text1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</w:rPr>
              <w:t xml:space="preserve">    一、案由及需要说明的情况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222" w:type="dxa"/>
            <w:gridSpan w:val="2"/>
          </w:tcPr>
          <w:p>
            <w:pPr>
              <w:rPr>
                <w:rFonts w:ascii="仿宋_GB2312" w:hAnsi="华文仿宋" w:eastAsia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hAnsi="华文仿宋" w:eastAsia="仿宋_GB2312"/>
                <w:color w:val="000000" w:themeColor="text1"/>
                <w:sz w:val="32"/>
                <w:szCs w:val="32"/>
              </w:rPr>
              <w:t xml:space="preserve">    党的十八大以来，全国各地坚持</w:t>
            </w:r>
            <w:r>
              <w:rPr>
                <w:rFonts w:hint="eastAsia" w:ascii="仿宋_GB2312" w:hAnsi="华文仿宋" w:eastAsia="仿宋_GB2312"/>
                <w:color w:val="000000" w:themeColor="text1"/>
                <w:sz w:val="32"/>
                <w:szCs w:val="32"/>
              </w:rPr>
              <w:t>以习近平新时代中国特色社会主义思想为指导</w:t>
            </w:r>
            <w:bookmarkStart w:id="0" w:name="_GoBack"/>
            <w:bookmarkEnd w:id="0"/>
            <w:r>
              <w:rPr>
                <w:rFonts w:ascii="仿宋_GB2312" w:hAnsi="华文仿宋" w:eastAsia="仿宋_GB2312"/>
                <w:color w:val="000000" w:themeColor="text1"/>
                <w:sz w:val="32"/>
                <w:szCs w:val="32"/>
              </w:rPr>
              <w:t xml:space="preserve">，大力培育和践行社会主义核心价值观，不断提升城市文明程度，不断提升城市空气质量，不断提高城市治理能力和治理水平，努力建设和谐宜居、人民满意的文明城市。 </w:t>
            </w:r>
            <w:r>
              <w:rPr>
                <w:rFonts w:ascii="仿宋_GB2312" w:hAnsi="华文仿宋" w:eastAsia="仿宋_GB2312"/>
                <w:color w:val="000000" w:themeColor="text1"/>
                <w:sz w:val="32"/>
                <w:szCs w:val="32"/>
              </w:rPr>
              <w:br w:type="textWrapping"/>
            </w:r>
            <w:r>
              <w:rPr>
                <w:rFonts w:ascii="仿宋_GB2312" w:hAnsi="华文仿宋" w:eastAsia="仿宋_GB2312"/>
                <w:color w:val="000000" w:themeColor="text1"/>
                <w:sz w:val="32"/>
                <w:szCs w:val="32"/>
              </w:rPr>
              <w:t>　　深圳，作为中国特色社会主义先行示范区，已经6次荣膺全国文明城市，正以坚实的步伐迈向“文明城市典范”。</w:t>
            </w:r>
            <w:r>
              <w:rPr>
                <w:rFonts w:ascii="仿宋_GB2312" w:hAnsi="华文仿宋" w:eastAsia="仿宋_GB2312"/>
                <w:color w:val="000000" w:themeColor="text1"/>
                <w:sz w:val="32"/>
                <w:szCs w:val="32"/>
              </w:rPr>
              <w:br w:type="textWrapping"/>
            </w:r>
            <w:r>
              <w:rPr>
                <w:rFonts w:ascii="仿宋_GB2312" w:hAnsi="华文仿宋" w:eastAsia="仿宋_GB2312"/>
                <w:color w:val="000000" w:themeColor="text1"/>
                <w:sz w:val="32"/>
                <w:szCs w:val="32"/>
              </w:rPr>
              <w:t>　　随着城市化建设的快速发展，交通系统也面临着日益增长的压力，深圳市的交通系统及设施完善已达到全国先进水平，但市民们依然会经常面临交通拥堵、车位紧张、停车难等问题，尤其是热门景区、商业区，在节假日时间，拥堵问题更是令人堪忧，这些交通问题的出现既给广大市民生活造成诸多不便，也大大增加了汽车的使用时间，静态的汽车尾气排放成为提升空气质量的一大隐忧。</w:t>
            </w:r>
            <w:r>
              <w:rPr>
                <w:rFonts w:ascii="仿宋_GB2312" w:hAnsi="华文仿宋" w:eastAsia="仿宋_GB2312"/>
                <w:color w:val="000000" w:themeColor="text1"/>
                <w:sz w:val="32"/>
                <w:szCs w:val="32"/>
              </w:rPr>
              <w:br w:type="textWrapping"/>
            </w:r>
            <w:r>
              <w:rPr>
                <w:rFonts w:ascii="仿宋_GB2312" w:hAnsi="华文仿宋" w:eastAsia="仿宋_GB2312"/>
                <w:color w:val="000000" w:themeColor="text1"/>
                <w:sz w:val="32"/>
                <w:szCs w:val="32"/>
              </w:rPr>
              <w:t>　　因此，本委员建议深圳构建大数据的城市停车服务平台，让市民出行可在此平台上提前优先规划好出行方式和线路，精准到达停车点。例如市民要去香港大学深圳医院，平台可显示其目的地停车位及周边停车位，如果医院停车位已满，那么市民可选择附近如华侨城欢乐海岸停车位，直接停车至可用停车位，节省排队等车位或绕行找车位时间，最大程度地减少车辆使用时间和尾气排放，同时方便就医。</w:t>
            </w:r>
            <w:r>
              <w:rPr>
                <w:rFonts w:ascii="仿宋_GB2312" w:hAnsi="华文仿宋" w:eastAsia="仿宋_GB2312"/>
                <w:color w:val="000000" w:themeColor="text1"/>
                <w:sz w:val="32"/>
                <w:szCs w:val="32"/>
              </w:rPr>
              <w:br w:type="textWrapping"/>
            </w:r>
            <w:r>
              <w:rPr>
                <w:rFonts w:ascii="仿宋_GB2312" w:hAnsi="华文仿宋" w:eastAsia="仿宋_GB2312"/>
                <w:color w:val="000000" w:themeColor="text1"/>
                <w:sz w:val="32"/>
                <w:szCs w:val="32"/>
              </w:rPr>
              <w:t>　　文明城市，智慧先行。通过这些互联网+的手段让城市交通治理更加智能化、精细化、规范化，精准停车，减堵减排，让深圳市民享受到更多便利的同时，也最大程度上优化人居环境，让“深圳蓝”成为享誉世界更加靓丽的名片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8222" w:type="dxa"/>
            <w:gridSpan w:val="2"/>
          </w:tcPr>
          <w:p>
            <w:pPr>
              <w:rPr>
                <w:rFonts w:ascii="等线" w:hAnsi="等线" w:eastAsia="等线" w:cs="等线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</w:rPr>
              <w:t xml:space="preserve">    二、意见建议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222" w:type="dxa"/>
            <w:gridSpan w:val="2"/>
          </w:tcPr>
          <w:p>
            <w:pPr>
              <w:rPr>
                <w:rFonts w:ascii="仿宋_GB2312" w:hAnsi="华文仿宋" w:eastAsia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hAnsi="华文仿宋" w:eastAsia="仿宋_GB2312"/>
                <w:color w:val="000000" w:themeColor="text1"/>
                <w:sz w:val="32"/>
                <w:szCs w:val="32"/>
              </w:rPr>
              <w:t xml:space="preserve">    通过深圳现有的交通监控网络监测全市人流车流汇总到大数据平台，实时反馈交通实况；由深圳市交通局统筹全市车位，构建大数据城市停车服务平台；市民共享大数据城市停车服务平台，提前规划出行方式和路线，实现合理合规停车。</w:t>
            </w:r>
            <w:r>
              <w:rPr>
                <w:rFonts w:ascii="仿宋_GB2312" w:hAnsi="华文仿宋" w:eastAsia="仿宋_GB2312"/>
                <w:color w:val="000000" w:themeColor="text1"/>
                <w:sz w:val="32"/>
                <w:szCs w:val="32"/>
              </w:rPr>
              <w:br w:type="textWrapping"/>
            </w:r>
            <w:r>
              <w:rPr>
                <w:rFonts w:ascii="仿宋_GB2312" w:hAnsi="华文仿宋" w:eastAsia="仿宋_GB2312"/>
                <w:color w:val="000000" w:themeColor="text1"/>
                <w:sz w:val="32"/>
                <w:szCs w:val="32"/>
              </w:rPr>
              <w:t xml:space="preserve">    补充说明：目前深圳各种导航系统只能大概的反馈交通通顺情况和停车场位置，而只有构建本地城市人流、车流、商业密集区等实时交通状况大数据平台，才能真实反映目的地交通和停车位使用的实时情况。</w:t>
            </w:r>
            <w:r>
              <w:rPr>
                <w:rFonts w:ascii="仿宋_GB2312" w:hAnsi="华文仿宋" w:eastAsia="仿宋_GB2312"/>
                <w:color w:val="000000" w:themeColor="text1"/>
                <w:sz w:val="32"/>
                <w:szCs w:val="32"/>
              </w:rPr>
              <w:br w:type="textWrapping"/>
            </w:r>
            <w:r>
              <w:rPr>
                <w:rFonts w:hint="eastAsia" w:ascii="仿宋_GB2312" w:hAnsi="华文仿宋" w:eastAsia="仿宋_GB2312"/>
                <w:color w:val="000000" w:themeColor="text1"/>
                <w:sz w:val="32"/>
                <w:szCs w:val="32"/>
              </w:rPr>
              <w:t xml:space="preserve">    </w:t>
            </w:r>
            <w:r>
              <w:rPr>
                <w:rFonts w:ascii="仿宋_GB2312" w:hAnsi="华文仿宋" w:eastAsia="仿宋_GB2312"/>
                <w:color w:val="000000" w:themeColor="text1"/>
                <w:sz w:val="32"/>
                <w:szCs w:val="32"/>
              </w:rPr>
              <w:t>深圳市交通局掌握全市停车场、停车位数量等整体情况，协调各区交通局，建设全市停车位系统汇总到一个大数据平台，将社会停车场、道路临时停车位、各单位小区内部停车场资源进行一个科学的统筹。</w:t>
            </w:r>
            <w:r>
              <w:rPr>
                <w:rFonts w:ascii="仿宋_GB2312" w:hAnsi="华文仿宋" w:eastAsia="仿宋_GB2312"/>
                <w:color w:val="000000" w:themeColor="text1"/>
                <w:sz w:val="32"/>
                <w:szCs w:val="32"/>
              </w:rPr>
              <w:br w:type="textWrapping"/>
            </w:r>
            <w:r>
              <w:rPr>
                <w:rFonts w:hint="eastAsia" w:ascii="仿宋_GB2312" w:hAnsi="华文仿宋" w:eastAsia="仿宋_GB2312"/>
                <w:color w:val="000000" w:themeColor="text1"/>
                <w:sz w:val="32"/>
                <w:szCs w:val="32"/>
              </w:rPr>
              <w:t xml:space="preserve">    </w:t>
            </w:r>
            <w:r>
              <w:rPr>
                <w:rFonts w:ascii="仿宋_GB2312" w:hAnsi="华文仿宋" w:eastAsia="仿宋_GB2312"/>
                <w:color w:val="000000" w:themeColor="text1"/>
                <w:sz w:val="32"/>
                <w:szCs w:val="32"/>
              </w:rPr>
              <w:t>构建大数据停车位共享网络平台，利用目前运用较广的深圳市道路交通管理事务中心（宜停车）平台或引进其他网络平台构建城市交通停车服务平台，交通部门推动和监管其他社会停车场、单位小区内部停车场接入大数据共享停车位平台，经相关部门审核许可后，全市共享停车位资源。市民可利用这个全新的城市交通停车服务平台提前规划好出行路线，做到精准停车。</w:t>
            </w:r>
            <w:r>
              <w:rPr>
                <w:rFonts w:ascii="仿宋_GB2312" w:hAnsi="华文仿宋" w:eastAsia="仿宋_GB2312"/>
                <w:color w:val="000000" w:themeColor="text1"/>
                <w:sz w:val="32"/>
                <w:szCs w:val="32"/>
              </w:rPr>
              <w:br w:type="textWrapping"/>
            </w:r>
          </w:p>
        </w:tc>
      </w:tr>
    </w:tbl>
    <w:p>
      <w:pPr>
        <w:spacing w:line="20" w:lineRule="exact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华文仿宋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YaHei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9863567"/>
    </w:sdtPr>
    <w:sdtContent>
      <w:p>
        <w:pPr>
          <w:pStyle w:val="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1E6"/>
    <w:rsid w:val="00042432"/>
    <w:rsid w:val="00042A00"/>
    <w:rsid w:val="000D3772"/>
    <w:rsid w:val="000D41E6"/>
    <w:rsid w:val="001114EC"/>
    <w:rsid w:val="00115ADE"/>
    <w:rsid w:val="00147BCA"/>
    <w:rsid w:val="00166A4D"/>
    <w:rsid w:val="001A0FF8"/>
    <w:rsid w:val="001C3C90"/>
    <w:rsid w:val="002031D5"/>
    <w:rsid w:val="00227F39"/>
    <w:rsid w:val="00236E41"/>
    <w:rsid w:val="00260F67"/>
    <w:rsid w:val="002914C5"/>
    <w:rsid w:val="002C0D47"/>
    <w:rsid w:val="0030448F"/>
    <w:rsid w:val="00310FF0"/>
    <w:rsid w:val="00334546"/>
    <w:rsid w:val="003911DC"/>
    <w:rsid w:val="003A2443"/>
    <w:rsid w:val="003D7F99"/>
    <w:rsid w:val="00433F83"/>
    <w:rsid w:val="0044291E"/>
    <w:rsid w:val="004C0288"/>
    <w:rsid w:val="004C293B"/>
    <w:rsid w:val="004C7B0D"/>
    <w:rsid w:val="004D0F23"/>
    <w:rsid w:val="004E154D"/>
    <w:rsid w:val="004E6A0C"/>
    <w:rsid w:val="004F68A2"/>
    <w:rsid w:val="005B6100"/>
    <w:rsid w:val="00602884"/>
    <w:rsid w:val="00673758"/>
    <w:rsid w:val="006A7092"/>
    <w:rsid w:val="00732C1E"/>
    <w:rsid w:val="00793158"/>
    <w:rsid w:val="00797A98"/>
    <w:rsid w:val="007E338C"/>
    <w:rsid w:val="008144F1"/>
    <w:rsid w:val="00824DB2"/>
    <w:rsid w:val="00831701"/>
    <w:rsid w:val="0083551E"/>
    <w:rsid w:val="00863C1B"/>
    <w:rsid w:val="008C555E"/>
    <w:rsid w:val="008D308A"/>
    <w:rsid w:val="008E4222"/>
    <w:rsid w:val="008F421A"/>
    <w:rsid w:val="0092585E"/>
    <w:rsid w:val="00935CC5"/>
    <w:rsid w:val="00941347"/>
    <w:rsid w:val="00967712"/>
    <w:rsid w:val="00994498"/>
    <w:rsid w:val="009C485E"/>
    <w:rsid w:val="009E2147"/>
    <w:rsid w:val="00A34BBB"/>
    <w:rsid w:val="00A82B87"/>
    <w:rsid w:val="00A9009C"/>
    <w:rsid w:val="00AD0C0A"/>
    <w:rsid w:val="00AD26F5"/>
    <w:rsid w:val="00AD367B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B7179"/>
    <w:rsid w:val="00D30A2D"/>
    <w:rsid w:val="00D604D5"/>
    <w:rsid w:val="00D82E5F"/>
    <w:rsid w:val="00D922D5"/>
    <w:rsid w:val="00DB7E1D"/>
    <w:rsid w:val="00E3215D"/>
    <w:rsid w:val="00E42995"/>
    <w:rsid w:val="00E63E06"/>
    <w:rsid w:val="00F0289C"/>
    <w:rsid w:val="00F336A0"/>
    <w:rsid w:val="00F50B82"/>
    <w:rsid w:val="00F87CE5"/>
    <w:rsid w:val="00FE6055"/>
    <w:rsid w:val="134F76DA"/>
    <w:rsid w:val="13F803AD"/>
    <w:rsid w:val="169D5372"/>
    <w:rsid w:val="2192492D"/>
    <w:rsid w:val="373B464F"/>
    <w:rsid w:val="3F5E17DA"/>
    <w:rsid w:val="44360900"/>
    <w:rsid w:val="514C5B9B"/>
    <w:rsid w:val="54992EC7"/>
    <w:rsid w:val="58FB2054"/>
    <w:rsid w:val="5EA62400"/>
    <w:rsid w:val="6ADA0666"/>
    <w:rsid w:val="7DA63A83"/>
    <w:rsid w:val="8B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9">
    <w:name w:val="Light Shading Accent 2"/>
    <w:qFormat/>
    <w:uiPriority w:val="60"/>
    <w:rPr>
      <w:color w:val="C55911" w:themeColor="accent2" w:themeShade="BF"/>
    </w:rPr>
    <w:tblPr>
      <w:tblBorders>
        <w:top w:val="single" w:color="ED7D31" w:themeColor="accent2" w:sz="8" w:space="0"/>
        <w:bottom w:val="single" w:color="ED7D31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4"/>
    <w:qFormat/>
    <w:uiPriority w:val="99"/>
    <w:rPr>
      <w:sz w:val="18"/>
      <w:szCs w:val="18"/>
    </w:rPr>
  </w:style>
  <w:style w:type="character" w:customStyle="1" w:styleId="14">
    <w:name w:val="批注文字 Char"/>
    <w:basedOn w:val="10"/>
    <w:link w:val="2"/>
    <w:semiHidden/>
    <w:qFormat/>
    <w:uiPriority w:val="99"/>
  </w:style>
  <w:style w:type="character" w:customStyle="1" w:styleId="15">
    <w:name w:val="批注主题 Char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Char"/>
    <w:basedOn w:val="10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unnamedxuan</Company>
  <Pages>3</Pages>
  <Words>184</Words>
  <Characters>1055</Characters>
  <Lines>8</Lines>
  <Paragraphs>2</Paragraphs>
  <TotalTime>22</TotalTime>
  <ScaleCrop>false</ScaleCrop>
  <LinksUpToDate>false</LinksUpToDate>
  <CharactersWithSpaces>1237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2014-03-05T14:43:00Z</dcterms:created>
  <dc:creator>unnamedxuan@qq.com</dc:creator>
  <cp:lastModifiedBy>kylin</cp:lastModifiedBy>
  <dcterms:modified xsi:type="dcterms:W3CDTF">2023-12-26T09:43:33Z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6A64B404DD284F46BA8C8BDC6A595688</vt:lpwstr>
  </property>
</Properties>
</file>