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82F" w:rsidRDefault="00C2382F" w:rsidP="00C2382F">
      <w:pPr>
        <w:jc w:val="center"/>
      </w:pPr>
      <w:r w:rsidRPr="00CE13E8">
        <w:rPr>
          <w:rFonts w:ascii="方正小标宋简体" w:eastAsia="方正小标宋简体" w:hint="eastAsia"/>
          <w:sz w:val="44"/>
          <w:szCs w:val="44"/>
        </w:rPr>
        <w:t>市政协</w:t>
      </w:r>
      <w:r w:rsidR="00983B67" w:rsidRPr="00CE13E8">
        <w:rPr>
          <w:rFonts w:ascii="方正小标宋简体" w:eastAsia="方正小标宋简体" w:hint="eastAsia"/>
          <w:sz w:val="44"/>
          <w:szCs w:val="44"/>
        </w:rPr>
        <w:t>七届</w:t>
      </w:r>
      <w:r w:rsidRPr="00CE13E8">
        <w:rPr>
          <w:rFonts w:ascii="方正小标宋简体" w:eastAsia="方正小标宋简体" w:hint="eastAsia"/>
          <w:sz w:val="44"/>
          <w:szCs w:val="44"/>
        </w:rPr>
        <w:t>一次会议第</w:t>
      </w:r>
      <w:r>
        <w:rPr>
          <w:rFonts w:ascii="方正小标宋简体" w:eastAsia="方正小标宋简体" w:hint="eastAsia"/>
          <w:sz w:val="44"/>
          <w:szCs w:val="44"/>
        </w:rPr>
        <w:t>20210327</w:t>
      </w:r>
      <w:r w:rsidRPr="00CE13E8">
        <w:rPr>
          <w:rFonts w:ascii="方正小标宋简体" w:eastAsia="方正小标宋简体" w:hint="eastAsia"/>
          <w:sz w:val="44"/>
          <w:szCs w:val="44"/>
        </w:rPr>
        <w:t>号提案</w:t>
      </w:r>
    </w:p>
    <w:p w:rsidR="00C2382F" w:rsidRDefault="00C2382F"/>
    <w:tbl>
      <w:tblPr>
        <w:tblStyle w:val="a8"/>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1418"/>
        <w:gridCol w:w="6804"/>
      </w:tblGrid>
      <w:tr w:rsidR="00FC34DD">
        <w:trPr>
          <w:trHeight w:val="541"/>
        </w:trPr>
        <w:tc>
          <w:tcPr>
            <w:tcW w:w="1418" w:type="dxa"/>
          </w:tcPr>
          <w:p w:rsidR="00FC34DD" w:rsidRDefault="00B2770C">
            <w:pPr>
              <w:rPr>
                <w:color w:val="000000" w:themeColor="text1"/>
              </w:rPr>
            </w:pPr>
            <w:r>
              <w:rPr>
                <w:rFonts w:ascii="黑体" w:eastAsia="黑体" w:hint="eastAsia"/>
                <w:color w:val="000000" w:themeColor="text1"/>
                <w:sz w:val="28"/>
              </w:rPr>
              <w:t>标    题：</w:t>
            </w:r>
          </w:p>
        </w:tc>
        <w:tc>
          <w:tcPr>
            <w:tcW w:w="6804" w:type="dxa"/>
          </w:tcPr>
          <w:p w:rsidR="00FC34DD" w:rsidRPr="00C2382F" w:rsidRDefault="00B2770C">
            <w:pPr>
              <w:rPr>
                <w:rFonts w:ascii="仿宋_GB2312" w:eastAsia="仿宋_GB2312" w:hAnsi="华文仿宋"/>
                <w:color w:val="000000" w:themeColor="text1"/>
                <w:sz w:val="32"/>
                <w:szCs w:val="32"/>
              </w:rPr>
            </w:pPr>
            <w:r w:rsidRPr="00C2382F">
              <w:rPr>
                <w:rFonts w:ascii="仿宋_GB2312" w:eastAsia="仿宋_GB2312" w:hAnsi="华文仿宋" w:hint="eastAsia"/>
                <w:color w:val="000000" w:themeColor="text1"/>
                <w:sz w:val="32"/>
                <w:szCs w:val="32"/>
              </w:rPr>
              <w:t>关于以平湖南内陆港为引领，加快构建深圳近距离内陆港体系的提案</w:t>
            </w:r>
          </w:p>
        </w:tc>
      </w:tr>
      <w:tr w:rsidR="00FC34DD">
        <w:trPr>
          <w:trHeight w:val="566"/>
        </w:trPr>
        <w:tc>
          <w:tcPr>
            <w:tcW w:w="1418" w:type="dxa"/>
          </w:tcPr>
          <w:p w:rsidR="00FC34DD" w:rsidRDefault="00B2770C">
            <w:pPr>
              <w:tabs>
                <w:tab w:val="left" w:pos="810"/>
              </w:tabs>
              <w:rPr>
                <w:color w:val="000000" w:themeColor="text1"/>
              </w:rPr>
            </w:pPr>
            <w:r>
              <w:rPr>
                <w:rFonts w:ascii="黑体" w:eastAsia="黑体" w:hint="eastAsia"/>
                <w:color w:val="000000" w:themeColor="text1"/>
                <w:sz w:val="28"/>
              </w:rPr>
              <w:t>提 出 人：</w:t>
            </w:r>
          </w:p>
        </w:tc>
        <w:tc>
          <w:tcPr>
            <w:tcW w:w="6804" w:type="dxa"/>
          </w:tcPr>
          <w:p w:rsidR="00FC34DD" w:rsidRPr="00C2382F" w:rsidRDefault="00B2770C">
            <w:pPr>
              <w:rPr>
                <w:rFonts w:ascii="仿宋_GB2312" w:eastAsia="仿宋_GB2312" w:hAnsi="华文仿宋"/>
                <w:color w:val="000000" w:themeColor="text1"/>
                <w:sz w:val="32"/>
                <w:szCs w:val="32"/>
              </w:rPr>
            </w:pPr>
            <w:r w:rsidRPr="00C2382F">
              <w:rPr>
                <w:rFonts w:ascii="仿宋_GB2312" w:eastAsia="仿宋_GB2312" w:hAnsi="华文仿宋" w:hint="eastAsia"/>
                <w:color w:val="000000" w:themeColor="text1"/>
                <w:sz w:val="32"/>
                <w:szCs w:val="32"/>
              </w:rPr>
              <w:t>陆卫平</w:t>
            </w:r>
          </w:p>
        </w:tc>
      </w:tr>
      <w:tr w:rsidR="00FC34DD">
        <w:trPr>
          <w:trHeight w:val="621"/>
        </w:trPr>
        <w:tc>
          <w:tcPr>
            <w:tcW w:w="1418" w:type="dxa"/>
          </w:tcPr>
          <w:p w:rsidR="00FC34DD" w:rsidRDefault="00B2770C">
            <w:pPr>
              <w:rPr>
                <w:color w:val="000000" w:themeColor="text1"/>
              </w:rPr>
            </w:pPr>
            <w:r>
              <w:rPr>
                <w:rFonts w:ascii="黑体" w:eastAsia="黑体" w:hint="eastAsia"/>
                <w:color w:val="000000" w:themeColor="text1"/>
                <w:sz w:val="28"/>
              </w:rPr>
              <w:t>办理类型：</w:t>
            </w:r>
          </w:p>
        </w:tc>
        <w:tc>
          <w:tcPr>
            <w:tcW w:w="6804" w:type="dxa"/>
          </w:tcPr>
          <w:p w:rsidR="00FC34DD" w:rsidRPr="00C2382F" w:rsidRDefault="00B2770C">
            <w:pPr>
              <w:rPr>
                <w:rFonts w:ascii="仿宋_GB2312" w:eastAsia="仿宋_GB2312" w:hAnsi="华文仿宋"/>
                <w:color w:val="000000" w:themeColor="text1"/>
                <w:sz w:val="32"/>
                <w:szCs w:val="32"/>
              </w:rPr>
            </w:pPr>
            <w:r w:rsidRPr="00C2382F">
              <w:rPr>
                <w:rFonts w:ascii="仿宋_GB2312" w:eastAsia="仿宋_GB2312" w:hAnsi="华文仿宋" w:hint="eastAsia"/>
                <w:color w:val="000000" w:themeColor="text1"/>
                <w:sz w:val="32"/>
                <w:szCs w:val="32"/>
              </w:rPr>
              <w:t>承办</w:t>
            </w:r>
          </w:p>
        </w:tc>
      </w:tr>
      <w:tr w:rsidR="00FC34DD">
        <w:trPr>
          <w:trHeight w:val="675"/>
        </w:trPr>
        <w:tc>
          <w:tcPr>
            <w:tcW w:w="1418" w:type="dxa"/>
          </w:tcPr>
          <w:p w:rsidR="00FC34DD" w:rsidRDefault="00B2770C">
            <w:pPr>
              <w:ind w:left="1400" w:hangingChars="500" w:hanging="1400"/>
              <w:rPr>
                <w:rFonts w:ascii="Times New Roman" w:eastAsia="华文仿宋"/>
                <w:color w:val="000000" w:themeColor="text1"/>
                <w:sz w:val="28"/>
              </w:rPr>
            </w:pPr>
            <w:r>
              <w:rPr>
                <w:rFonts w:ascii="黑体" w:eastAsia="黑体" w:hint="eastAsia"/>
                <w:color w:val="000000" w:themeColor="text1"/>
                <w:sz w:val="28"/>
              </w:rPr>
              <w:t>主办单位：</w:t>
            </w:r>
          </w:p>
        </w:tc>
        <w:tc>
          <w:tcPr>
            <w:tcW w:w="6804" w:type="dxa"/>
          </w:tcPr>
          <w:p w:rsidR="00FC34DD" w:rsidRPr="00C2382F" w:rsidRDefault="00B2770C">
            <w:pPr>
              <w:rPr>
                <w:rFonts w:ascii="仿宋_GB2312" w:eastAsia="仿宋_GB2312" w:hAnsi="华文仿宋"/>
                <w:color w:val="000000" w:themeColor="text1"/>
                <w:sz w:val="32"/>
                <w:szCs w:val="32"/>
              </w:rPr>
            </w:pPr>
            <w:r w:rsidRPr="00C2382F">
              <w:rPr>
                <w:rFonts w:ascii="仿宋_GB2312" w:eastAsia="仿宋_GB2312" w:hAnsi="华文仿宋" w:hint="eastAsia"/>
                <w:color w:val="000000" w:themeColor="text1"/>
                <w:sz w:val="32"/>
                <w:szCs w:val="32"/>
              </w:rPr>
              <w:t>市交通运输局</w:t>
            </w:r>
          </w:p>
        </w:tc>
      </w:tr>
      <w:tr w:rsidR="00FC34DD">
        <w:trPr>
          <w:trHeight w:val="573"/>
        </w:trPr>
        <w:tc>
          <w:tcPr>
            <w:tcW w:w="8222" w:type="dxa"/>
            <w:gridSpan w:val="2"/>
          </w:tcPr>
          <w:p w:rsidR="00FC34DD" w:rsidRPr="00C2382F" w:rsidRDefault="00C2382F">
            <w:pPr>
              <w:rPr>
                <w:rFonts w:ascii="华文仿宋" w:eastAsia="华文仿宋" w:hAnsi="华文仿宋"/>
                <w:color w:val="000000" w:themeColor="text1"/>
                <w:sz w:val="32"/>
                <w:szCs w:val="32"/>
              </w:rPr>
            </w:pPr>
            <w:r>
              <w:rPr>
                <w:rFonts w:ascii="黑体" w:eastAsia="黑体" w:hint="eastAsia"/>
                <w:color w:val="000000" w:themeColor="text1"/>
                <w:sz w:val="28"/>
              </w:rPr>
              <w:t xml:space="preserve">    </w:t>
            </w:r>
            <w:r w:rsidRPr="00C2382F">
              <w:rPr>
                <w:rFonts w:ascii="黑体" w:eastAsia="黑体" w:hint="eastAsia"/>
                <w:color w:val="000000" w:themeColor="text1"/>
                <w:sz w:val="32"/>
                <w:szCs w:val="32"/>
              </w:rPr>
              <w:t>一、</w:t>
            </w:r>
            <w:r w:rsidR="00B2770C" w:rsidRPr="00C2382F">
              <w:rPr>
                <w:rFonts w:ascii="黑体" w:eastAsia="黑体" w:hint="eastAsia"/>
                <w:color w:val="000000" w:themeColor="text1"/>
                <w:sz w:val="32"/>
                <w:szCs w:val="32"/>
              </w:rPr>
              <w:t>案由及需要说明的情况：</w:t>
            </w:r>
          </w:p>
        </w:tc>
      </w:tr>
      <w:tr w:rsidR="00FC34DD" w:rsidRPr="00C2382F">
        <w:trPr>
          <w:trHeight w:val="882"/>
        </w:trPr>
        <w:tc>
          <w:tcPr>
            <w:tcW w:w="8222" w:type="dxa"/>
            <w:gridSpan w:val="2"/>
          </w:tcPr>
          <w:p w:rsidR="00FC34DD" w:rsidRPr="00C2382F" w:rsidRDefault="00C2382F" w:rsidP="00C2382F">
            <w:pPr>
              <w:rPr>
                <w:rFonts w:ascii="仿宋_GB2312" w:eastAsia="仿宋_GB2312" w:hAnsi="华文仿宋"/>
                <w:color w:val="000000" w:themeColor="text1"/>
                <w:sz w:val="32"/>
                <w:szCs w:val="32"/>
              </w:rPr>
            </w:pPr>
            <w:r>
              <w:rPr>
                <w:rFonts w:ascii="仿宋_GB2312" w:eastAsia="仿宋_GB2312" w:hAnsi="华文仿宋" w:hint="eastAsia"/>
                <w:color w:val="000000" w:themeColor="text1"/>
                <w:sz w:val="32"/>
                <w:szCs w:val="32"/>
              </w:rPr>
              <w:t xml:space="preserve">    </w:t>
            </w:r>
            <w:r w:rsidR="00B2770C" w:rsidRPr="00C2382F">
              <w:rPr>
                <w:rFonts w:ascii="仿宋_GB2312" w:eastAsia="仿宋_GB2312" w:hAnsi="华文仿宋"/>
                <w:color w:val="000000" w:themeColor="text1"/>
                <w:sz w:val="32"/>
                <w:szCs w:val="32"/>
              </w:rPr>
              <w:t>深圳港是全球第四大集装箱枢纽港和大湾区外贸尤其是欧美远洋运输的最主要通道，也是大湾区国际供应链核心节点和竞争力所在。在2020年复杂的环境中，深圳港吞吐量达到2654.8万标箱，创历史新高，为大湾区制造业不断提升国际竞争力做出了独特贡献。与此同时，大湾区繁荣的产业集群对应着港口庞大的集疏运量，其中公路集疏运比例高达73%。在业务量突发性增长的特殊时段，集装箱拖车造成的道路拥堵对深圳港国际声誉、外贸供应链稳定以及本地区道路交通安全、社会正常运转等产生很大影响，后疫情时代，国际航班不稳定性增加，出口货物长时间滞留港口，港口堆场不足问题日益突出。2021年春节前提前出货的港外拖车排队一度长达20公里，就是集疏运高度依赖公路及港口堆场不足的体现，优化深圳港集疏运方式、提升港口堆存能力已迫在眉睫。当前，国家倡导绿色发展、大力推进交通</w:t>
            </w:r>
            <w:r w:rsidR="00B2770C" w:rsidRPr="00C2382F">
              <w:rPr>
                <w:rFonts w:ascii="仿宋_GB2312" w:eastAsia="仿宋_GB2312" w:hAnsi="华文仿宋"/>
                <w:color w:val="000000" w:themeColor="text1"/>
                <w:sz w:val="32"/>
                <w:szCs w:val="32"/>
              </w:rPr>
              <w:lastRenderedPageBreak/>
              <w:t>强国建设，强化铁路疏港，既符合国家发展大局，又能一定程度减缓深圳港口及配套用地严重不足的压力，建议政府、铁路部门等大力支持，创新模式，以平湖南内陆港建设为引领，加快构建深圳近距离内陆港体系，为深圳先行示范区建设探索新模式。</w:t>
            </w:r>
            <w:r w:rsidR="00B2770C" w:rsidRPr="00C2382F">
              <w:rPr>
                <w:rFonts w:ascii="仿宋_GB2312" w:eastAsia="仿宋_GB2312" w:hAnsi="华文仿宋"/>
                <w:color w:val="000000" w:themeColor="text1"/>
                <w:sz w:val="32"/>
                <w:szCs w:val="32"/>
              </w:rPr>
              <w:br/>
              <w:t xml:space="preserve">　　建议创新模式，以盐田平湖南内陆港为引领，加快构建深圳近距离内陆港体系</w:t>
            </w:r>
            <w:r w:rsidR="00B2770C" w:rsidRPr="00C2382F">
              <w:rPr>
                <w:rFonts w:ascii="仿宋_GB2312" w:eastAsia="仿宋_GB2312" w:hAnsi="华文仿宋"/>
                <w:color w:val="000000" w:themeColor="text1"/>
                <w:sz w:val="32"/>
                <w:szCs w:val="32"/>
              </w:rPr>
              <w:br/>
              <w:t xml:space="preserve">　　2020年12月8日广铁集团与盐田国际签订了</w:t>
            </w:r>
            <w:r w:rsidR="00B2770C" w:rsidRPr="00C2382F">
              <w:rPr>
                <w:rFonts w:ascii="仿宋_GB2312" w:eastAsia="仿宋_GB2312" w:hAnsi="华文仿宋"/>
                <w:color w:val="000000" w:themeColor="text1"/>
                <w:sz w:val="32"/>
                <w:szCs w:val="32"/>
              </w:rPr>
              <w:t>“</w:t>
            </w:r>
            <w:r w:rsidR="00B2770C" w:rsidRPr="00C2382F">
              <w:rPr>
                <w:rFonts w:ascii="仿宋_GB2312" w:eastAsia="仿宋_GB2312" w:hAnsi="华文仿宋"/>
                <w:color w:val="000000" w:themeColor="text1"/>
                <w:sz w:val="32"/>
                <w:szCs w:val="32"/>
              </w:rPr>
              <w:t>1+2+N</w:t>
            </w:r>
            <w:r w:rsidR="00B2770C" w:rsidRPr="00C2382F">
              <w:rPr>
                <w:rFonts w:ascii="仿宋_GB2312" w:eastAsia="仿宋_GB2312" w:hAnsi="华文仿宋"/>
                <w:color w:val="000000" w:themeColor="text1"/>
                <w:sz w:val="32"/>
                <w:szCs w:val="32"/>
              </w:rPr>
              <w:t>”</w:t>
            </w:r>
            <w:r w:rsidR="00B2770C" w:rsidRPr="00C2382F">
              <w:rPr>
                <w:rFonts w:ascii="仿宋_GB2312" w:eastAsia="仿宋_GB2312" w:hAnsi="华文仿宋"/>
                <w:color w:val="000000" w:themeColor="text1"/>
                <w:sz w:val="32"/>
                <w:szCs w:val="32"/>
              </w:rPr>
              <w:t>战略合作协议，双方明确将平湖南铁路货场作为内陆港建设试点，尝试海铁联运合作新模式。当前，平湖南铁路货场站后工程已建成投产，面积约10万平方米，其中集装箱作业区约3.9万平方米，为海铁联运发展创造了新条件。在平盐铁路升级改造工程实施前，借助现有的平盐铁路及平湖南新货场的资源优势和已经形成的业务规模，创新模式，将平湖南建设成为深圳港的近距离内陆港，既可丰富深圳港的集疏运比例，缓解城区公路交通压力，拓展港口发展空间，提升城区发展环境，具有现实可行性和重大战略意义。</w:t>
            </w:r>
          </w:p>
        </w:tc>
      </w:tr>
      <w:tr w:rsidR="00FC34DD" w:rsidRPr="00C2382F">
        <w:trPr>
          <w:trHeight w:val="507"/>
        </w:trPr>
        <w:tc>
          <w:tcPr>
            <w:tcW w:w="8222" w:type="dxa"/>
            <w:gridSpan w:val="2"/>
          </w:tcPr>
          <w:p w:rsidR="00FC34DD" w:rsidRPr="00C2382F" w:rsidRDefault="00C2382F">
            <w:pPr>
              <w:rPr>
                <w:rFonts w:ascii="黑体" w:eastAsia="黑体"/>
                <w:color w:val="000000" w:themeColor="text1"/>
                <w:sz w:val="32"/>
                <w:szCs w:val="32"/>
              </w:rPr>
            </w:pPr>
            <w:r>
              <w:rPr>
                <w:rFonts w:ascii="黑体" w:eastAsia="黑体" w:hint="eastAsia"/>
                <w:color w:val="000000" w:themeColor="text1"/>
                <w:sz w:val="32"/>
                <w:szCs w:val="32"/>
              </w:rPr>
              <w:lastRenderedPageBreak/>
              <w:t xml:space="preserve">    二、</w:t>
            </w:r>
            <w:r w:rsidR="00B2770C" w:rsidRPr="00C2382F">
              <w:rPr>
                <w:rFonts w:ascii="黑体" w:eastAsia="黑体" w:hint="eastAsia"/>
                <w:color w:val="000000" w:themeColor="text1"/>
                <w:sz w:val="32"/>
                <w:szCs w:val="32"/>
              </w:rPr>
              <w:t>意见建议</w:t>
            </w:r>
          </w:p>
        </w:tc>
      </w:tr>
      <w:tr w:rsidR="00FC34DD" w:rsidRPr="00C2382F">
        <w:trPr>
          <w:trHeight w:val="882"/>
        </w:trPr>
        <w:tc>
          <w:tcPr>
            <w:tcW w:w="8222" w:type="dxa"/>
            <w:gridSpan w:val="2"/>
          </w:tcPr>
          <w:p w:rsidR="00FC34DD" w:rsidRPr="00C2382F" w:rsidRDefault="00B2770C" w:rsidP="00C2382F">
            <w:pPr>
              <w:rPr>
                <w:rFonts w:ascii="仿宋_GB2312" w:eastAsia="仿宋_GB2312" w:hAnsi="华文仿宋"/>
                <w:color w:val="000000" w:themeColor="text1"/>
                <w:sz w:val="32"/>
                <w:szCs w:val="32"/>
              </w:rPr>
            </w:pPr>
            <w:r w:rsidRPr="00C2382F">
              <w:rPr>
                <w:rFonts w:ascii="仿宋_GB2312" w:eastAsia="仿宋_GB2312" w:hAnsi="华文仿宋"/>
                <w:color w:val="000000" w:themeColor="text1"/>
                <w:sz w:val="32"/>
                <w:szCs w:val="32"/>
              </w:rPr>
              <w:t xml:space="preserve">    </w:t>
            </w:r>
            <w:r w:rsidR="00C2382F" w:rsidRPr="00C2382F">
              <w:rPr>
                <w:rFonts w:ascii="楷体_GB2312" w:eastAsia="楷体_GB2312" w:hAnsi="华文仿宋" w:hint="eastAsia"/>
                <w:b/>
                <w:color w:val="000000" w:themeColor="text1"/>
                <w:sz w:val="32"/>
                <w:szCs w:val="32"/>
              </w:rPr>
              <w:t>（一）</w:t>
            </w:r>
            <w:r w:rsidRPr="00C2382F">
              <w:rPr>
                <w:rFonts w:ascii="楷体_GB2312" w:eastAsia="楷体_GB2312" w:hAnsi="华文仿宋"/>
                <w:b/>
                <w:color w:val="000000" w:themeColor="text1"/>
                <w:sz w:val="32"/>
                <w:szCs w:val="32"/>
              </w:rPr>
              <w:t>创新模式，强化合作，将平湖南新货场建设成为深圳港近距离内陆港</w:t>
            </w:r>
            <w:r w:rsidR="00C2382F" w:rsidRPr="00C2382F">
              <w:rPr>
                <w:rFonts w:ascii="楷体_GB2312" w:eastAsia="楷体_GB2312" w:hAnsi="华文仿宋" w:hint="eastAsia"/>
                <w:b/>
                <w:color w:val="000000" w:themeColor="text1"/>
                <w:sz w:val="32"/>
                <w:szCs w:val="32"/>
              </w:rPr>
              <w:t>。</w:t>
            </w:r>
            <w:r w:rsidRPr="00C2382F">
              <w:rPr>
                <w:rFonts w:ascii="楷体_GB2312" w:eastAsia="楷体_GB2312" w:hAnsi="华文仿宋"/>
                <w:b/>
                <w:color w:val="000000" w:themeColor="text1"/>
                <w:sz w:val="32"/>
                <w:szCs w:val="32"/>
              </w:rPr>
              <w:t xml:space="preserve"> </w:t>
            </w:r>
            <w:r w:rsidRPr="00C2382F">
              <w:rPr>
                <w:rFonts w:ascii="仿宋_GB2312" w:eastAsia="仿宋_GB2312" w:hAnsi="华文仿宋"/>
                <w:color w:val="000000" w:themeColor="text1"/>
                <w:sz w:val="32"/>
                <w:szCs w:val="32"/>
              </w:rPr>
              <w:br/>
              <w:t xml:space="preserve">    补充说明：将平湖南新货场设为盐田港区</w:t>
            </w:r>
            <w:r w:rsidRPr="00C2382F">
              <w:rPr>
                <w:rFonts w:ascii="仿宋_GB2312" w:eastAsia="仿宋_GB2312" w:hAnsi="华文仿宋"/>
                <w:color w:val="000000" w:themeColor="text1"/>
                <w:sz w:val="32"/>
                <w:szCs w:val="32"/>
              </w:rPr>
              <w:t>“</w:t>
            </w:r>
            <w:r w:rsidRPr="00C2382F">
              <w:rPr>
                <w:rFonts w:ascii="仿宋_GB2312" w:eastAsia="仿宋_GB2312" w:hAnsi="华文仿宋"/>
                <w:color w:val="000000" w:themeColor="text1"/>
                <w:sz w:val="32"/>
                <w:szCs w:val="32"/>
              </w:rPr>
              <w:t>内陆港</w:t>
            </w:r>
            <w:r w:rsidRPr="00C2382F">
              <w:rPr>
                <w:rFonts w:ascii="仿宋_GB2312" w:eastAsia="仿宋_GB2312" w:hAnsi="华文仿宋"/>
                <w:color w:val="000000" w:themeColor="text1"/>
                <w:sz w:val="32"/>
                <w:szCs w:val="32"/>
              </w:rPr>
              <w:t>”</w:t>
            </w:r>
            <w:r w:rsidRPr="00C2382F">
              <w:rPr>
                <w:rFonts w:ascii="仿宋_GB2312" w:eastAsia="仿宋_GB2312" w:hAnsi="华文仿宋"/>
                <w:color w:val="000000" w:themeColor="text1"/>
                <w:sz w:val="32"/>
                <w:szCs w:val="32"/>
              </w:rPr>
              <w:t>，功能上作为盐田港区堆场一部分，由港口企业统筹运营，以</w:t>
            </w:r>
            <w:r w:rsidRPr="00C2382F">
              <w:rPr>
                <w:rFonts w:ascii="仿宋_GB2312" w:eastAsia="仿宋_GB2312" w:hAnsi="华文仿宋"/>
                <w:color w:val="000000" w:themeColor="text1"/>
                <w:sz w:val="32"/>
                <w:szCs w:val="32"/>
              </w:rPr>
              <w:lastRenderedPageBreak/>
              <w:t xml:space="preserve">保障内陆港与港口高效协同以及运营效率和质量服务。平湖南内陆港引入码头闸口功能和相关操作系统，客户在平湖南交、提柜，操作上视同在盐田港区交提柜。 </w:t>
            </w:r>
            <w:r w:rsidRPr="00C2382F">
              <w:rPr>
                <w:rFonts w:ascii="仿宋_GB2312" w:eastAsia="仿宋_GB2312" w:hAnsi="华文仿宋"/>
                <w:color w:val="000000" w:themeColor="text1"/>
                <w:sz w:val="32"/>
                <w:szCs w:val="32"/>
              </w:rPr>
              <w:br/>
              <w:t xml:space="preserve">    </w:t>
            </w:r>
            <w:r w:rsidR="00C2382F" w:rsidRPr="00C2382F">
              <w:rPr>
                <w:rFonts w:ascii="楷体_GB2312" w:eastAsia="楷体_GB2312" w:hAnsi="华文仿宋" w:hint="eastAsia"/>
                <w:b/>
                <w:color w:val="000000" w:themeColor="text1"/>
                <w:sz w:val="32"/>
                <w:szCs w:val="32"/>
              </w:rPr>
              <w:t>（二）</w:t>
            </w:r>
            <w:r w:rsidRPr="00C2382F">
              <w:rPr>
                <w:rFonts w:ascii="楷体_GB2312" w:eastAsia="楷体_GB2312" w:hAnsi="华文仿宋" w:hint="eastAsia"/>
                <w:b/>
                <w:color w:val="000000" w:themeColor="text1"/>
                <w:sz w:val="32"/>
                <w:szCs w:val="32"/>
              </w:rPr>
              <w:t>研究出台港区与近距离内陆港之间渡箱的扶持政策</w:t>
            </w:r>
            <w:r w:rsidR="00C2382F" w:rsidRPr="00C2382F">
              <w:rPr>
                <w:rFonts w:ascii="楷体_GB2312" w:eastAsia="楷体_GB2312" w:hAnsi="华文仿宋" w:hint="eastAsia"/>
                <w:b/>
                <w:color w:val="000000" w:themeColor="text1"/>
                <w:sz w:val="32"/>
                <w:szCs w:val="32"/>
              </w:rPr>
              <w:t>。</w:t>
            </w:r>
            <w:r w:rsidRPr="00C2382F">
              <w:rPr>
                <w:rFonts w:ascii="仿宋_GB2312" w:eastAsia="仿宋_GB2312" w:hAnsi="华文仿宋"/>
                <w:color w:val="000000" w:themeColor="text1"/>
                <w:sz w:val="32"/>
                <w:szCs w:val="32"/>
              </w:rPr>
              <w:t xml:space="preserve"> </w:t>
            </w:r>
            <w:r w:rsidRPr="00C2382F">
              <w:rPr>
                <w:rFonts w:ascii="仿宋_GB2312" w:eastAsia="仿宋_GB2312" w:hAnsi="华文仿宋"/>
                <w:color w:val="000000" w:themeColor="text1"/>
                <w:sz w:val="32"/>
                <w:szCs w:val="32"/>
              </w:rPr>
              <w:br/>
              <w:t xml:space="preserve">    补充说明：建设近距离内陆港体系是深圳交通强国试点的重要内容，符合深圳缓解港城矛盾及提升港口集疏运能力的需要。考虑到近距离内陆港模式将额外增加约500-600元/箱的港区与近距离内陆港之间渡箱运输成本，建议政府研究出台针对渡箱运输的扶持政策，支持平湖南近距离内陆港持续运营，并为建设深圳近距离内陆港体系探索经验。 </w:t>
            </w:r>
            <w:r w:rsidRPr="00C2382F">
              <w:rPr>
                <w:rFonts w:ascii="仿宋_GB2312" w:eastAsia="仿宋_GB2312" w:hAnsi="华文仿宋"/>
                <w:color w:val="000000" w:themeColor="text1"/>
                <w:sz w:val="32"/>
                <w:szCs w:val="32"/>
              </w:rPr>
              <w:br/>
            </w:r>
          </w:p>
        </w:tc>
      </w:tr>
    </w:tbl>
    <w:p w:rsidR="00B2770C" w:rsidRDefault="00B2770C"/>
    <w:sectPr w:rsidR="00B2770C" w:rsidSect="00FC34DD">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3B9B" w:rsidRDefault="00CE3B9B" w:rsidP="00FC34DD">
      <w:r>
        <w:separator/>
      </w:r>
    </w:p>
  </w:endnote>
  <w:endnote w:type="continuationSeparator" w:id="0">
    <w:p w:rsidR="00CE3B9B" w:rsidRDefault="00CE3B9B" w:rsidP="00FC34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863567"/>
    </w:sdtPr>
    <w:sdtContent>
      <w:p w:rsidR="00FC34DD" w:rsidRDefault="007E2846">
        <w:pPr>
          <w:pStyle w:val="a5"/>
          <w:jc w:val="right"/>
        </w:pPr>
        <w:r>
          <w:fldChar w:fldCharType="begin"/>
        </w:r>
        <w:r w:rsidR="00B2770C">
          <w:instrText>PAGE   \* MERGEFORMAT</w:instrText>
        </w:r>
        <w:r>
          <w:fldChar w:fldCharType="separate"/>
        </w:r>
        <w:r w:rsidR="00983B67" w:rsidRPr="00983B67">
          <w:rPr>
            <w:noProof/>
            <w:lang w:val="zh-CN"/>
          </w:rPr>
          <w:t>1</w:t>
        </w:r>
        <w:r>
          <w:fldChar w:fldCharType="end"/>
        </w:r>
      </w:p>
    </w:sdtContent>
  </w:sdt>
  <w:p w:rsidR="00FC34DD" w:rsidRDefault="00FC34D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3B9B" w:rsidRDefault="00CE3B9B" w:rsidP="00FC34DD">
      <w:r>
        <w:separator/>
      </w:r>
    </w:p>
  </w:footnote>
  <w:footnote w:type="continuationSeparator" w:id="0">
    <w:p w:rsidR="00CE3B9B" w:rsidRDefault="00CE3B9B" w:rsidP="00FC34D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0D41E6"/>
    <w:rsid w:val="00042432"/>
    <w:rsid w:val="000A6639"/>
    <w:rsid w:val="000D41E6"/>
    <w:rsid w:val="001114EC"/>
    <w:rsid w:val="00147BCA"/>
    <w:rsid w:val="00166A4D"/>
    <w:rsid w:val="001A0FF8"/>
    <w:rsid w:val="001C3C90"/>
    <w:rsid w:val="002031D5"/>
    <w:rsid w:val="00227F39"/>
    <w:rsid w:val="00236E41"/>
    <w:rsid w:val="00260F67"/>
    <w:rsid w:val="002914C5"/>
    <w:rsid w:val="00295FDC"/>
    <w:rsid w:val="002A7F87"/>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73758"/>
    <w:rsid w:val="006A7092"/>
    <w:rsid w:val="00732C1E"/>
    <w:rsid w:val="00793158"/>
    <w:rsid w:val="00797A98"/>
    <w:rsid w:val="007E2846"/>
    <w:rsid w:val="007E338C"/>
    <w:rsid w:val="008144F1"/>
    <w:rsid w:val="0083551E"/>
    <w:rsid w:val="008D308A"/>
    <w:rsid w:val="008E4222"/>
    <w:rsid w:val="008F421A"/>
    <w:rsid w:val="0092585E"/>
    <w:rsid w:val="00935CC5"/>
    <w:rsid w:val="00941347"/>
    <w:rsid w:val="00967712"/>
    <w:rsid w:val="00983B67"/>
    <w:rsid w:val="00994498"/>
    <w:rsid w:val="009C485E"/>
    <w:rsid w:val="009E2147"/>
    <w:rsid w:val="00A34BBB"/>
    <w:rsid w:val="00A82B87"/>
    <w:rsid w:val="00A9009C"/>
    <w:rsid w:val="00AD0C0A"/>
    <w:rsid w:val="00AD26F5"/>
    <w:rsid w:val="00AD367B"/>
    <w:rsid w:val="00B21855"/>
    <w:rsid w:val="00B2770C"/>
    <w:rsid w:val="00B27728"/>
    <w:rsid w:val="00B30441"/>
    <w:rsid w:val="00B447A8"/>
    <w:rsid w:val="00B61CC8"/>
    <w:rsid w:val="00B6488E"/>
    <w:rsid w:val="00BA05D7"/>
    <w:rsid w:val="00BA78B0"/>
    <w:rsid w:val="00C2382F"/>
    <w:rsid w:val="00C249E2"/>
    <w:rsid w:val="00C542F7"/>
    <w:rsid w:val="00C6715C"/>
    <w:rsid w:val="00C74D4D"/>
    <w:rsid w:val="00CB7179"/>
    <w:rsid w:val="00CE3B9B"/>
    <w:rsid w:val="00D30A2D"/>
    <w:rsid w:val="00D604D5"/>
    <w:rsid w:val="00D82E5F"/>
    <w:rsid w:val="00D922D5"/>
    <w:rsid w:val="00DB7E1D"/>
    <w:rsid w:val="00E63E06"/>
    <w:rsid w:val="00F0289C"/>
    <w:rsid w:val="00F336A0"/>
    <w:rsid w:val="00F50B82"/>
    <w:rsid w:val="00F87CE5"/>
    <w:rsid w:val="00FC34DD"/>
    <w:rsid w:val="00FE6055"/>
    <w:rsid w:val="134F76DA"/>
    <w:rsid w:val="13F803AD"/>
    <w:rsid w:val="169D5372"/>
    <w:rsid w:val="2192492D"/>
    <w:rsid w:val="373B464F"/>
    <w:rsid w:val="3F5E17DA"/>
    <w:rsid w:val="44360900"/>
    <w:rsid w:val="514C5B9B"/>
    <w:rsid w:val="54992EC7"/>
    <w:rsid w:val="58FB2054"/>
    <w:rsid w:val="5EA62400"/>
    <w:rsid w:val="6ADA0666"/>
    <w:rsid w:val="7DA63A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4DD"/>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FC34DD"/>
    <w:pPr>
      <w:jc w:val="left"/>
    </w:pPr>
  </w:style>
  <w:style w:type="paragraph" w:styleId="a4">
    <w:name w:val="Balloon Text"/>
    <w:basedOn w:val="a"/>
    <w:link w:val="Char0"/>
    <w:uiPriority w:val="99"/>
    <w:semiHidden/>
    <w:unhideWhenUsed/>
    <w:qFormat/>
    <w:rsid w:val="00FC34DD"/>
    <w:rPr>
      <w:sz w:val="18"/>
      <w:szCs w:val="18"/>
    </w:rPr>
  </w:style>
  <w:style w:type="paragraph" w:styleId="a5">
    <w:name w:val="footer"/>
    <w:basedOn w:val="a"/>
    <w:link w:val="Char1"/>
    <w:uiPriority w:val="99"/>
    <w:unhideWhenUsed/>
    <w:qFormat/>
    <w:rsid w:val="00FC34DD"/>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FC34DD"/>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sid w:val="00FC34DD"/>
    <w:rPr>
      <w:b/>
      <w:bCs/>
    </w:rPr>
  </w:style>
  <w:style w:type="table" w:styleId="a8">
    <w:name w:val="Table Grid"/>
    <w:uiPriority w:val="59"/>
    <w:rsid w:val="008D01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2">
    <w:name w:val="Light Shading Accent 2"/>
    <w:uiPriority w:val="60"/>
    <w:qFormat/>
    <w:rsid w:val="00FC34DD"/>
    <w:rPr>
      <w:color w:val="C45911" w:themeColor="accent2" w:themeShade="BF"/>
    </w:rPr>
    <w:tblPr>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character" w:styleId="a9">
    <w:name w:val="annotation reference"/>
    <w:basedOn w:val="a0"/>
    <w:uiPriority w:val="99"/>
    <w:semiHidden/>
    <w:unhideWhenUsed/>
    <w:qFormat/>
    <w:rsid w:val="00FC34DD"/>
    <w:rPr>
      <w:sz w:val="21"/>
      <w:szCs w:val="21"/>
    </w:rPr>
  </w:style>
  <w:style w:type="character" w:customStyle="1" w:styleId="Char2">
    <w:name w:val="页眉 Char"/>
    <w:basedOn w:val="a0"/>
    <w:link w:val="a6"/>
    <w:uiPriority w:val="99"/>
    <w:qFormat/>
    <w:rsid w:val="00FC34DD"/>
    <w:rPr>
      <w:sz w:val="18"/>
      <w:szCs w:val="18"/>
    </w:rPr>
  </w:style>
  <w:style w:type="character" w:customStyle="1" w:styleId="Char1">
    <w:name w:val="页脚 Char"/>
    <w:basedOn w:val="a0"/>
    <w:link w:val="a5"/>
    <w:uiPriority w:val="99"/>
    <w:qFormat/>
    <w:rsid w:val="00FC34DD"/>
    <w:rPr>
      <w:sz w:val="18"/>
      <w:szCs w:val="18"/>
    </w:rPr>
  </w:style>
  <w:style w:type="character" w:customStyle="1" w:styleId="Char">
    <w:name w:val="批注文字 Char"/>
    <w:basedOn w:val="a0"/>
    <w:link w:val="a3"/>
    <w:uiPriority w:val="99"/>
    <w:semiHidden/>
    <w:qFormat/>
    <w:rsid w:val="00FC34DD"/>
  </w:style>
  <w:style w:type="character" w:customStyle="1" w:styleId="Char3">
    <w:name w:val="批注主题 Char"/>
    <w:basedOn w:val="Char"/>
    <w:link w:val="a7"/>
    <w:uiPriority w:val="99"/>
    <w:semiHidden/>
    <w:qFormat/>
    <w:rsid w:val="00FC34DD"/>
    <w:rPr>
      <w:b/>
      <w:bCs/>
    </w:rPr>
  </w:style>
  <w:style w:type="character" w:customStyle="1" w:styleId="Char0">
    <w:name w:val="批注框文本 Char"/>
    <w:basedOn w:val="a0"/>
    <w:link w:val="a4"/>
    <w:uiPriority w:val="99"/>
    <w:semiHidden/>
    <w:qFormat/>
    <w:rsid w:val="00FC34DD"/>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190</Words>
  <Characters>1086</Characters>
  <Application>Microsoft Office Word</Application>
  <DocSecurity>0</DocSecurity>
  <Lines>9</Lines>
  <Paragraphs>2</Paragraphs>
  <ScaleCrop>false</ScaleCrop>
  <Company>unnamedxuan</Company>
  <LinksUpToDate>false</LinksUpToDate>
  <CharactersWithSpaces>1274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unnamedxuan@qq.com</dc:creator>
  <cp:lastModifiedBy>张志忠</cp:lastModifiedBy>
  <cp:revision>72</cp:revision>
  <dcterms:created xsi:type="dcterms:W3CDTF">2014-03-05T06:43:00Z</dcterms:created>
  <dcterms:modified xsi:type="dcterms:W3CDTF">2021-10-15T09:43:00Z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6A64B404DD284F46BA8C8BDC6A595688</vt:lpwstr>
  </property>
</Properties>
</file>