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E3D" w:rsidRPr="00BC3E3D" w:rsidRDefault="00BC3E3D" w:rsidP="00BC3E3D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BC3E3D">
        <w:rPr>
          <w:rFonts w:ascii="方正小标宋简体" w:eastAsia="方正小标宋简体" w:hint="eastAsia"/>
          <w:sz w:val="44"/>
          <w:szCs w:val="44"/>
        </w:rPr>
        <w:t>市七届人大一次会议第20210765号建议</w:t>
      </w:r>
    </w:p>
    <w:p w:rsidR="001F1BF9" w:rsidRPr="00BC3E3D" w:rsidRDefault="001F1BF9">
      <w:pPr>
        <w:rPr>
          <w:rFonts w:ascii="Times New Roman" w:eastAsia="华文仿宋"/>
          <w:sz w:val="32"/>
        </w:rPr>
      </w:pPr>
    </w:p>
    <w:p w:rsidR="001F1BF9" w:rsidRDefault="008C104D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关于加快人车分离慢行系统建设以保障群众出行安全的建议</w:t>
      </w:r>
    </w:p>
    <w:p w:rsidR="001F1BF9" w:rsidRDefault="008C104D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黄振辉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林玉堂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叶曙兵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3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1F1BF9" w:rsidRDefault="008C104D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分办</w:t>
      </w:r>
    </w:p>
    <w:p w:rsidR="001F1BF9" w:rsidRDefault="008C104D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宝安区人民政府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市交通运输局</w:t>
      </w:r>
    </w:p>
    <w:p w:rsidR="00BC3E3D" w:rsidRPr="00BC3E3D" w:rsidRDefault="00BC3E3D" w:rsidP="00BC3E3D">
      <w:pPr>
        <w:rPr>
          <w:rFonts w:ascii="Times New Roman" w:eastAsia="华文仿宋"/>
          <w:sz w:val="32"/>
        </w:rPr>
      </w:pPr>
      <w:r w:rsidRPr="00BC3E3D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BC3E3D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1F1BF9" w:rsidRDefault="008C104D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1F1BF9" w:rsidRPr="00BC3E3D" w:rsidRDefault="008C104D" w:rsidP="00BC3E3D">
      <w:pPr>
        <w:ind w:firstLineChars="200" w:firstLine="640"/>
        <w:rPr>
          <w:rFonts w:ascii="仿宋_GB2312" w:eastAsia="仿宋_GB2312" w:hint="eastAsia"/>
          <w:sz w:val="28"/>
        </w:rPr>
      </w:pPr>
      <w:r w:rsidRPr="00BC3E3D">
        <w:rPr>
          <w:rFonts w:ascii="仿宋_GB2312" w:eastAsia="仿宋_GB2312" w:hint="eastAsia"/>
          <w:sz w:val="32"/>
        </w:rPr>
        <w:t>目前，深圳虽然已有不少自行车道，但大都与人行道混合设置，骑行不畅、步行也不够安全；少部分路口斑马线旁也设置了非机动车专用通道，但标识不醒目、设置路口数量远远不足等问题均亟待解决。加快人车分离慢行系统建设，既有助于解决汽车侵占自行车路权等问题，也能为骑行、步行提供更好的环境，为绿色交通出行体系提供支撑。</w:t>
      </w:r>
    </w:p>
    <w:p w:rsidR="001F1BF9" w:rsidRPr="00BC3E3D" w:rsidRDefault="008C104D" w:rsidP="00BC3E3D">
      <w:pPr>
        <w:ind w:firstLineChars="200" w:firstLine="640"/>
        <w:rPr>
          <w:rFonts w:ascii="黑体" w:eastAsia="黑体" w:hAnsi="黑体" w:hint="eastAsia"/>
          <w:sz w:val="28"/>
        </w:rPr>
      </w:pPr>
      <w:r w:rsidRPr="00BC3E3D">
        <w:rPr>
          <w:rFonts w:ascii="黑体" w:eastAsia="黑体" w:hAnsi="黑体" w:hint="eastAsia"/>
          <w:sz w:val="32"/>
        </w:rPr>
        <w:t>一、非机动车道分类不明导致存在的问题和隐患</w:t>
      </w:r>
    </w:p>
    <w:p w:rsidR="001F1BF9" w:rsidRPr="00BC3E3D" w:rsidRDefault="00BC3E3D" w:rsidP="00BC3E3D">
      <w:pPr>
        <w:ind w:firstLineChars="200" w:firstLine="640"/>
        <w:rPr>
          <w:rFonts w:ascii="仿宋_GB2312" w:eastAsia="仿宋_GB2312" w:hint="eastAsia"/>
          <w:sz w:val="28"/>
        </w:rPr>
      </w:pPr>
      <w:r w:rsidRPr="00BC3E3D">
        <w:rPr>
          <w:rFonts w:ascii="仿宋_GB2312" w:eastAsia="仿宋_GB2312" w:hint="eastAsia"/>
          <w:sz w:val="32"/>
        </w:rPr>
        <w:t>一</w:t>
      </w:r>
      <w:r w:rsidR="008C104D" w:rsidRPr="00BC3E3D">
        <w:rPr>
          <w:rFonts w:ascii="仿宋_GB2312" w:eastAsia="仿宋_GB2312" w:hint="eastAsia"/>
          <w:sz w:val="32"/>
        </w:rPr>
        <w:t>是人车混流、自行车道不连贯、人行道整改情况较差、破旧及人行道上机动车、电动车、自行车乱停乱摆等现象严重，极大增加了发生交通事故的风险的同时，也削弱了群众绿色出行的</w:t>
      </w:r>
      <w:r w:rsidR="008C104D" w:rsidRPr="00BC3E3D">
        <w:rPr>
          <w:rFonts w:ascii="仿宋_GB2312" w:eastAsia="仿宋_GB2312" w:hint="eastAsia"/>
          <w:sz w:val="32"/>
        </w:rPr>
        <w:t>主动性及良好体验感。</w:t>
      </w:r>
    </w:p>
    <w:p w:rsidR="001F1BF9" w:rsidRPr="00BC3E3D" w:rsidRDefault="008C104D" w:rsidP="00BC3E3D">
      <w:pPr>
        <w:ind w:firstLineChars="200" w:firstLine="640"/>
        <w:rPr>
          <w:rFonts w:ascii="仿宋_GB2312" w:eastAsia="仿宋_GB2312" w:hint="eastAsia"/>
          <w:sz w:val="28"/>
        </w:rPr>
      </w:pPr>
      <w:r w:rsidRPr="00BC3E3D">
        <w:rPr>
          <w:rFonts w:ascii="仿宋_GB2312" w:eastAsia="仿宋_GB2312" w:hint="eastAsia"/>
          <w:sz w:val="32"/>
        </w:rPr>
        <w:t>二是非机动车道分类不明、路口斑马线划分电动专用通道设置数量太少及缺乏有效监管，同样极大地增加路口发生非机动车</w:t>
      </w:r>
      <w:r w:rsidRPr="00BC3E3D">
        <w:rPr>
          <w:rFonts w:ascii="仿宋_GB2312" w:eastAsia="仿宋_GB2312" w:hint="eastAsia"/>
          <w:sz w:val="32"/>
        </w:rPr>
        <w:lastRenderedPageBreak/>
        <w:t>（电单车、自行车）与行人因交叉通行导致交通事故的概率。</w:t>
      </w:r>
    </w:p>
    <w:p w:rsidR="001F1BF9" w:rsidRPr="00BC3E3D" w:rsidRDefault="008C104D" w:rsidP="00BC3E3D">
      <w:pPr>
        <w:ind w:firstLineChars="200" w:firstLine="640"/>
        <w:rPr>
          <w:rFonts w:ascii="黑体" w:eastAsia="黑体" w:hAnsi="黑体" w:hint="eastAsia"/>
          <w:sz w:val="28"/>
        </w:rPr>
      </w:pPr>
      <w:r w:rsidRPr="00BC3E3D">
        <w:rPr>
          <w:rFonts w:ascii="黑体" w:eastAsia="黑体" w:hAnsi="黑体" w:hint="eastAsia"/>
          <w:sz w:val="32"/>
        </w:rPr>
        <w:t>二、工作建议</w:t>
      </w:r>
    </w:p>
    <w:p w:rsidR="001F1BF9" w:rsidRPr="00BC3E3D" w:rsidRDefault="008C104D" w:rsidP="00BC3E3D">
      <w:pPr>
        <w:ind w:firstLineChars="200" w:firstLine="640"/>
        <w:rPr>
          <w:rFonts w:ascii="仿宋_GB2312" w:eastAsia="仿宋_GB2312" w:hint="eastAsia"/>
          <w:sz w:val="28"/>
        </w:rPr>
      </w:pPr>
      <w:r w:rsidRPr="00BC3E3D">
        <w:rPr>
          <w:rFonts w:ascii="仿宋_GB2312" w:eastAsia="仿宋_GB2312" w:hint="eastAsia"/>
          <w:sz w:val="32"/>
        </w:rPr>
        <w:t>一是抓紧建立宝安区人车分离慢行系统量化指标体系。建议城市管理、交通运输、街道等相关部门共同研究后，探索建立宝安区人车分离慢行系统量化指标体系，科学设定全区建设总体指标；通过听证会、座谈会等形式征求社会各界的意见，形成详细的发展策略和规划方案，并及时向公众公布，便于群众更直观了解宝安区道路交通的现状和感知未来宝安</w:t>
      </w:r>
      <w:r w:rsidRPr="00BC3E3D">
        <w:rPr>
          <w:rFonts w:ascii="仿宋_GB2312" w:eastAsia="仿宋_GB2312" w:hint="eastAsia"/>
          <w:sz w:val="32"/>
        </w:rPr>
        <w:t>区道路发展的空间。</w:t>
      </w:r>
    </w:p>
    <w:p w:rsidR="001F1BF9" w:rsidRPr="00BC3E3D" w:rsidRDefault="008C104D" w:rsidP="00BC3E3D">
      <w:pPr>
        <w:ind w:firstLineChars="200" w:firstLine="640"/>
        <w:rPr>
          <w:rFonts w:ascii="仿宋_GB2312" w:eastAsia="仿宋_GB2312" w:hint="eastAsia"/>
          <w:sz w:val="28"/>
        </w:rPr>
      </w:pPr>
      <w:r w:rsidRPr="00BC3E3D">
        <w:rPr>
          <w:rFonts w:ascii="仿宋_GB2312" w:eastAsia="仿宋_GB2312" w:hint="eastAsia"/>
          <w:sz w:val="32"/>
        </w:rPr>
        <w:t>二是建议科学制定高质量人车分离慢行交通五年规划，结合量化指标体系，重点加快完善和优化辖区人行道、自行车道、电单车道等非机动车道路面质量和建设密度；加强路口斑马线非机动车道专用通道的设置，由交警部门逐步设立有关监管制度，通过宣传、教育等方式促使群众自觉遵守道路交通规则，保证群众出行安全。</w:t>
      </w:r>
    </w:p>
    <w:p w:rsidR="001F1BF9" w:rsidRPr="00BC3E3D" w:rsidRDefault="001F1BF9">
      <w:pPr>
        <w:spacing w:line="300" w:lineRule="auto"/>
        <w:jc w:val="left"/>
        <w:rPr>
          <w:rFonts w:ascii="仿宋_GB2312" w:eastAsia="仿宋_GB2312" w:hAnsi="仿宋" w:cs="仿宋" w:hint="eastAsia"/>
          <w:sz w:val="24"/>
        </w:rPr>
      </w:pPr>
    </w:p>
    <w:p w:rsidR="001F1BF9" w:rsidRPr="00BC3E3D" w:rsidRDefault="001F1BF9">
      <w:pPr>
        <w:rPr>
          <w:rFonts w:ascii="仿宋_GB2312" w:eastAsia="仿宋_GB2312" w:hint="eastAsia"/>
          <w:sz w:val="36"/>
          <w:szCs w:val="36"/>
        </w:rPr>
      </w:pPr>
    </w:p>
    <w:sectPr w:rsidR="001F1BF9" w:rsidRPr="00BC3E3D" w:rsidSect="00BC3E3D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04D" w:rsidRDefault="008C104D" w:rsidP="00BC3E3D">
      <w:r>
        <w:separator/>
      </w:r>
    </w:p>
  </w:endnote>
  <w:endnote w:type="continuationSeparator" w:id="0">
    <w:p w:rsidR="008C104D" w:rsidRDefault="008C104D" w:rsidP="00BC3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04D" w:rsidRDefault="008C104D" w:rsidP="00BC3E3D">
      <w:r>
        <w:separator/>
      </w:r>
    </w:p>
  </w:footnote>
  <w:footnote w:type="continuationSeparator" w:id="0">
    <w:p w:rsidR="008C104D" w:rsidRDefault="008C104D" w:rsidP="00BC3E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1F1BF9"/>
    <w:rsid w:val="008C104D"/>
    <w:rsid w:val="00A26917"/>
    <w:rsid w:val="00BC3E3D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B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1F1BF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BC3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C3E3D"/>
    <w:rPr>
      <w:kern w:val="2"/>
      <w:sz w:val="18"/>
      <w:szCs w:val="18"/>
    </w:rPr>
  </w:style>
  <w:style w:type="paragraph" w:styleId="a5">
    <w:name w:val="footer"/>
    <w:basedOn w:val="a"/>
    <w:link w:val="Char0"/>
    <w:rsid w:val="00BC3E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C3E3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676</Characters>
  <Application>Microsoft Office Word</Application>
  <DocSecurity>0</DocSecurity>
  <Lines>5</Lines>
  <Paragraphs>1</Paragraphs>
  <ScaleCrop>false</ScaleCrop>
  <Company>Microsoft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