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firstLine="480" w:firstLineChars="200"/>
        <w:rPr>
          <w:rFonts w:ascii="仿宋_GB2312" w:hAnsi="仿宋" w:eastAsia="仿宋_GB2312"/>
        </w:rPr>
      </w:pPr>
    </w:p>
    <w:p>
      <w:pPr>
        <w:spacing w:before="156" w:beforeLines="50" w:after="156" w:afterLines="50" w:line="360" w:lineRule="auto"/>
        <w:ind w:firstLine="480" w:firstLineChars="200"/>
        <w:rPr>
          <w:rFonts w:ascii="仿宋_GB2312" w:hAnsi="仿宋" w:eastAsia="仿宋_GB2312"/>
        </w:rPr>
      </w:pPr>
    </w:p>
    <w:p>
      <w:pPr>
        <w:spacing w:before="156" w:beforeLines="50" w:after="156" w:afterLines="50" w:line="360" w:lineRule="auto"/>
        <w:jc w:val="center"/>
        <w:outlineLvl w:val="9"/>
        <w:rPr>
          <w:rFonts w:hint="eastAsia" w:ascii="CESI黑体-GB2312" w:hAnsi="CESI黑体-GB2312" w:eastAsia="CESI黑体-GB2312" w:cs="CESI黑体-GB2312"/>
          <w:b w:val="0"/>
          <w:bCs/>
          <w:sz w:val="48"/>
          <w:szCs w:val="48"/>
          <w:lang w:val="en-US" w:eastAsia="zh-CN"/>
        </w:rPr>
      </w:pPr>
      <w:bookmarkStart w:id="0" w:name="_Toc7394"/>
      <w:r>
        <w:rPr>
          <w:rFonts w:hint="eastAsia" w:ascii="CESI黑体-GB2312" w:hAnsi="CESI黑体-GB2312" w:eastAsia="CESI黑体-GB2312" w:cs="CESI黑体-GB2312"/>
          <w:b w:val="0"/>
          <w:bCs/>
          <w:sz w:val="48"/>
          <w:szCs w:val="48"/>
        </w:rPr>
        <w:t>202</w:t>
      </w:r>
      <w:r>
        <w:rPr>
          <w:rFonts w:hint="eastAsia" w:ascii="CESI黑体-GB2312" w:hAnsi="CESI黑体-GB2312" w:eastAsia="CESI黑体-GB2312" w:cs="CESI黑体-GB2312"/>
          <w:b w:val="0"/>
          <w:bCs/>
          <w:sz w:val="48"/>
          <w:szCs w:val="48"/>
          <w:lang w:val="en-US" w:eastAsia="zh-CN"/>
        </w:rPr>
        <w:t>2</w:t>
      </w:r>
      <w:r>
        <w:rPr>
          <w:rFonts w:hint="eastAsia" w:ascii="CESI黑体-GB2312" w:hAnsi="CESI黑体-GB2312" w:eastAsia="CESI黑体-GB2312" w:cs="CESI黑体-GB2312"/>
          <w:b w:val="0"/>
          <w:bCs/>
          <w:sz w:val="48"/>
          <w:szCs w:val="48"/>
        </w:rPr>
        <w:t>年度深圳</w:t>
      </w:r>
      <w:r>
        <w:rPr>
          <w:rFonts w:hint="eastAsia" w:ascii="CESI黑体-GB2312" w:hAnsi="CESI黑体-GB2312" w:eastAsia="CESI黑体-GB2312" w:cs="CESI黑体-GB2312"/>
          <w:b w:val="0"/>
          <w:bCs/>
          <w:sz w:val="48"/>
          <w:szCs w:val="48"/>
          <w:lang w:val="en-US" w:eastAsia="zh-CN"/>
        </w:rPr>
        <w:t>现代</w:t>
      </w:r>
      <w:r>
        <w:rPr>
          <w:rFonts w:hint="eastAsia" w:ascii="CESI黑体-GB2312" w:hAnsi="CESI黑体-GB2312" w:eastAsia="CESI黑体-GB2312" w:cs="CESI黑体-GB2312"/>
          <w:b w:val="0"/>
          <w:bCs/>
          <w:sz w:val="48"/>
          <w:szCs w:val="48"/>
        </w:rPr>
        <w:t>物流质量指数</w:t>
      </w:r>
      <w:r>
        <w:rPr>
          <w:rFonts w:hint="eastAsia" w:ascii="CESI黑体-GB2312" w:hAnsi="CESI黑体-GB2312" w:eastAsia="CESI黑体-GB2312" w:cs="CESI黑体-GB2312"/>
          <w:b w:val="0"/>
          <w:bCs/>
          <w:sz w:val="48"/>
          <w:szCs w:val="48"/>
          <w:lang w:val="en-US" w:eastAsia="zh-CN"/>
        </w:rPr>
        <w:t>测</w:t>
      </w:r>
      <w:bookmarkEnd w:id="0"/>
      <w:r>
        <w:rPr>
          <w:rFonts w:hint="eastAsia" w:ascii="CESI黑体-GB2312" w:hAnsi="CESI黑体-GB2312" w:eastAsia="CESI黑体-GB2312" w:cs="CESI黑体-GB2312"/>
          <w:b w:val="0"/>
          <w:bCs/>
          <w:sz w:val="48"/>
          <w:szCs w:val="48"/>
          <w:lang w:val="en-US" w:eastAsia="zh-CN"/>
        </w:rPr>
        <w:t>算</w:t>
      </w:r>
    </w:p>
    <w:p>
      <w:pPr>
        <w:spacing w:before="156" w:beforeLines="50" w:after="156" w:afterLines="50" w:line="360" w:lineRule="auto"/>
        <w:jc w:val="center"/>
        <w:rPr>
          <w:rFonts w:hint="eastAsia" w:ascii="CESI黑体-GB2312" w:hAnsi="CESI黑体-GB2312" w:eastAsia="CESI黑体-GB2312" w:cs="CESI黑体-GB2312"/>
          <w:b w:val="0"/>
          <w:bCs/>
          <w:sz w:val="48"/>
          <w:szCs w:val="48"/>
          <w:lang w:val="en-US" w:eastAsia="zh-CN"/>
        </w:rPr>
      </w:pPr>
      <w:r>
        <w:rPr>
          <w:rFonts w:hint="eastAsia" w:ascii="CESI黑体-GB2312" w:hAnsi="CESI黑体-GB2312" w:eastAsia="CESI黑体-GB2312" w:cs="CESI黑体-GB2312"/>
          <w:b w:val="0"/>
          <w:bCs/>
          <w:sz w:val="48"/>
          <w:szCs w:val="48"/>
          <w:lang w:val="en-US" w:eastAsia="zh-CN"/>
        </w:rPr>
        <w:t>分析报告</w:t>
      </w:r>
    </w:p>
    <w:p>
      <w:pPr>
        <w:spacing w:before="156" w:beforeLines="50" w:after="156" w:afterLines="50" w:line="360" w:lineRule="auto"/>
        <w:ind w:firstLine="480" w:firstLineChars="200"/>
        <w:rPr>
          <w:rFonts w:hint="eastAsia" w:ascii="CESI黑体-GB2312" w:hAnsi="CESI黑体-GB2312" w:eastAsia="CESI黑体-GB2312" w:cs="CESI黑体-GB2312"/>
          <w:b w:val="0"/>
          <w:bCs/>
        </w:rPr>
      </w:pPr>
    </w:p>
    <w:p>
      <w:pPr>
        <w:spacing w:before="156" w:beforeLines="50" w:after="156" w:afterLines="50" w:line="360" w:lineRule="auto"/>
        <w:ind w:firstLine="480" w:firstLineChars="200"/>
        <w:rPr>
          <w:rFonts w:hint="eastAsia" w:ascii="CESI黑体-GB2312" w:hAnsi="CESI黑体-GB2312" w:eastAsia="CESI黑体-GB2312" w:cs="CESI黑体-GB2312"/>
          <w:b w:val="0"/>
          <w:bCs/>
        </w:rPr>
      </w:pPr>
    </w:p>
    <w:p>
      <w:pPr>
        <w:spacing w:before="156" w:beforeLines="50" w:after="156" w:afterLines="50" w:line="360" w:lineRule="auto"/>
        <w:ind w:firstLine="480" w:firstLineChars="200"/>
        <w:rPr>
          <w:rFonts w:hint="eastAsia" w:ascii="CESI黑体-GB2312" w:hAnsi="CESI黑体-GB2312" w:eastAsia="CESI黑体-GB2312" w:cs="CESI黑体-GB2312"/>
          <w:b w:val="0"/>
          <w:bCs/>
        </w:rPr>
      </w:pPr>
    </w:p>
    <w:p>
      <w:pPr>
        <w:spacing w:before="156" w:beforeLines="50" w:after="156" w:afterLines="50" w:line="360" w:lineRule="auto"/>
        <w:ind w:firstLine="480" w:firstLineChars="200"/>
        <w:rPr>
          <w:rFonts w:hint="eastAsia" w:ascii="CESI黑体-GB2312" w:hAnsi="CESI黑体-GB2312" w:eastAsia="CESI黑体-GB2312" w:cs="CESI黑体-GB2312"/>
          <w:b w:val="0"/>
          <w:bCs/>
        </w:rPr>
      </w:pPr>
    </w:p>
    <w:p>
      <w:pPr>
        <w:spacing w:before="156" w:beforeLines="50" w:after="156" w:afterLines="50" w:line="360" w:lineRule="auto"/>
        <w:ind w:firstLine="480" w:firstLineChars="200"/>
        <w:rPr>
          <w:rFonts w:hint="eastAsia" w:ascii="CESI黑体-GB2312" w:hAnsi="CESI黑体-GB2312" w:eastAsia="CESI黑体-GB2312" w:cs="CESI黑体-GB2312"/>
          <w:b w:val="0"/>
          <w:bCs/>
        </w:rPr>
      </w:pPr>
    </w:p>
    <w:p>
      <w:pPr>
        <w:spacing w:before="156" w:beforeLines="50" w:after="156" w:afterLines="50" w:line="360" w:lineRule="auto"/>
        <w:ind w:firstLine="480" w:firstLineChars="200"/>
        <w:rPr>
          <w:rFonts w:hint="eastAsia" w:ascii="CESI黑体-GB2312" w:hAnsi="CESI黑体-GB2312" w:eastAsia="CESI黑体-GB2312" w:cs="CESI黑体-GB2312"/>
          <w:b w:val="0"/>
          <w:bCs/>
        </w:rPr>
      </w:pPr>
    </w:p>
    <w:p>
      <w:pPr>
        <w:spacing w:before="156" w:beforeLines="50" w:after="156" w:afterLines="50" w:line="360" w:lineRule="auto"/>
        <w:rPr>
          <w:rFonts w:hint="eastAsia" w:ascii="CESI黑体-GB2312" w:hAnsi="CESI黑体-GB2312" w:eastAsia="CESI黑体-GB2312" w:cs="CESI黑体-GB2312"/>
          <w:b w:val="0"/>
          <w:bCs/>
          <w:sz w:val="30"/>
          <w:szCs w:val="30"/>
        </w:rPr>
      </w:pPr>
    </w:p>
    <w:p>
      <w:pPr>
        <w:spacing w:before="156" w:beforeLines="50" w:after="156" w:afterLines="50" w:line="360" w:lineRule="auto"/>
        <w:rPr>
          <w:rFonts w:hint="eastAsia" w:ascii="CESI黑体-GB2312" w:hAnsi="CESI黑体-GB2312" w:eastAsia="CESI黑体-GB2312" w:cs="CESI黑体-GB2312"/>
          <w:b w:val="0"/>
          <w:bCs/>
          <w:sz w:val="30"/>
          <w:szCs w:val="30"/>
        </w:rPr>
      </w:pPr>
    </w:p>
    <w:p>
      <w:pPr>
        <w:spacing w:before="156" w:beforeLines="50" w:after="156" w:afterLines="50" w:line="360" w:lineRule="auto"/>
        <w:rPr>
          <w:rFonts w:hint="eastAsia" w:ascii="CESI黑体-GB2312" w:hAnsi="CESI黑体-GB2312" w:eastAsia="CESI黑体-GB2312" w:cs="CESI黑体-GB2312"/>
          <w:b w:val="0"/>
          <w:bCs/>
          <w:sz w:val="30"/>
          <w:szCs w:val="30"/>
        </w:rPr>
      </w:pPr>
    </w:p>
    <w:p>
      <w:pPr>
        <w:spacing w:before="156" w:beforeLines="50" w:after="156" w:afterLines="50" w:line="360" w:lineRule="auto"/>
        <w:rPr>
          <w:rFonts w:hint="eastAsia" w:ascii="CESI黑体-GB2312" w:hAnsi="CESI黑体-GB2312" w:eastAsia="CESI黑体-GB2312" w:cs="CESI黑体-GB2312"/>
          <w:b w:val="0"/>
          <w:bCs/>
          <w:sz w:val="30"/>
          <w:szCs w:val="30"/>
        </w:rPr>
      </w:pPr>
    </w:p>
    <w:p>
      <w:pPr>
        <w:jc w:val="center"/>
        <w:rPr>
          <w:rFonts w:hint="eastAsia" w:ascii="CESI黑体-GB2312" w:hAnsi="CESI黑体-GB2312" w:eastAsia="CESI黑体-GB2312" w:cs="CESI黑体-GB2312"/>
          <w:b w:val="0"/>
          <w:bCs/>
          <w:sz w:val="36"/>
          <w:szCs w:val="36"/>
        </w:rPr>
      </w:pPr>
      <w:r>
        <w:rPr>
          <w:rFonts w:hint="eastAsia" w:ascii="CESI黑体-GB2312" w:hAnsi="CESI黑体-GB2312" w:eastAsia="CESI黑体-GB2312" w:cs="CESI黑体-GB2312"/>
          <w:b w:val="0"/>
          <w:bCs/>
          <w:sz w:val="36"/>
          <w:szCs w:val="36"/>
        </w:rPr>
        <w:t>深圳市交通运输局</w:t>
      </w:r>
    </w:p>
    <w:p>
      <w:pPr>
        <w:jc w:val="center"/>
        <w:outlineLvl w:val="9"/>
        <w:rPr>
          <w:rFonts w:hint="eastAsia" w:ascii="CESI黑体-GB2312" w:hAnsi="CESI黑体-GB2312" w:eastAsia="CESI黑体-GB2312" w:cs="CESI黑体-GB2312"/>
          <w:b w:val="0"/>
          <w:bCs/>
          <w:sz w:val="36"/>
          <w:szCs w:val="36"/>
          <w:lang w:val="en-US" w:eastAsia="zh-CN"/>
        </w:rPr>
      </w:pPr>
      <w:bookmarkStart w:id="1" w:name="_Toc14699"/>
      <w:r>
        <w:rPr>
          <w:rFonts w:hint="eastAsia" w:ascii="CESI黑体-GB2312" w:hAnsi="CESI黑体-GB2312" w:eastAsia="CESI黑体-GB2312" w:cs="CESI黑体-GB2312"/>
          <w:b w:val="0"/>
          <w:bCs/>
          <w:sz w:val="36"/>
          <w:szCs w:val="36"/>
          <w:lang w:val="en-US" w:eastAsia="zh-CN"/>
        </w:rPr>
        <w:t>深圳深大方圆交通发展研究院有限公司</w:t>
      </w:r>
      <w:bookmarkEnd w:id="1"/>
    </w:p>
    <w:p>
      <w:pPr>
        <w:jc w:val="center"/>
        <w:rPr>
          <w:rFonts w:hint="eastAsia" w:ascii="CESI黑体-GB2312" w:hAnsi="CESI黑体-GB2312" w:eastAsia="CESI黑体-GB2312" w:cs="CESI黑体-GB2312"/>
          <w:b w:val="0"/>
          <w:bCs/>
          <w:sz w:val="52"/>
          <w:szCs w:val="32"/>
        </w:rPr>
      </w:pPr>
      <w:r>
        <w:rPr>
          <w:rFonts w:hint="eastAsia" w:ascii="CESI黑体-GB2312" w:hAnsi="CESI黑体-GB2312" w:eastAsia="CESI黑体-GB2312" w:cs="CESI黑体-GB2312"/>
          <w:b w:val="0"/>
          <w:bCs/>
          <w:sz w:val="36"/>
          <w:szCs w:val="36"/>
        </w:rPr>
        <w:t>20</w:t>
      </w:r>
      <w:r>
        <w:rPr>
          <w:rFonts w:hint="eastAsia" w:ascii="CESI黑体-GB2312" w:hAnsi="CESI黑体-GB2312" w:eastAsia="CESI黑体-GB2312" w:cs="CESI黑体-GB2312"/>
          <w:b w:val="0"/>
          <w:bCs/>
          <w:sz w:val="36"/>
          <w:szCs w:val="36"/>
          <w:lang w:val="en-US" w:eastAsia="zh-CN"/>
        </w:rPr>
        <w:t>22</w:t>
      </w:r>
      <w:r>
        <w:rPr>
          <w:rFonts w:hint="eastAsia" w:ascii="CESI黑体-GB2312" w:hAnsi="CESI黑体-GB2312" w:eastAsia="CESI黑体-GB2312" w:cs="CESI黑体-GB2312"/>
          <w:b w:val="0"/>
          <w:bCs/>
          <w:sz w:val="36"/>
          <w:szCs w:val="36"/>
        </w:rPr>
        <w:t>年</w:t>
      </w:r>
      <w:r>
        <w:rPr>
          <w:rFonts w:hint="eastAsia" w:ascii="CESI黑体-GB2312" w:hAnsi="CESI黑体-GB2312" w:eastAsia="CESI黑体-GB2312" w:cs="CESI黑体-GB2312"/>
          <w:b w:val="0"/>
          <w:bCs/>
          <w:sz w:val="36"/>
          <w:szCs w:val="36"/>
          <w:lang w:val="en-US" w:eastAsia="zh-CN"/>
        </w:rPr>
        <w:t>6</w:t>
      </w:r>
      <w:r>
        <w:rPr>
          <w:rFonts w:hint="eastAsia" w:ascii="CESI黑体-GB2312" w:hAnsi="CESI黑体-GB2312" w:eastAsia="CESI黑体-GB2312" w:cs="CESI黑体-GB2312"/>
          <w:b w:val="0"/>
          <w:bCs/>
          <w:sz w:val="36"/>
          <w:szCs w:val="36"/>
        </w:rPr>
        <w:t>月</w:t>
      </w:r>
    </w:p>
    <w:p>
      <w:pPr>
        <w:spacing w:before="100" w:beforeAutospacing="1" w:after="100" w:afterAutospacing="1" w:line="360" w:lineRule="auto"/>
        <w:jc w:val="center"/>
        <w:rPr>
          <w:rFonts w:ascii="仿宋_GB2312" w:hAnsi="仿宋" w:eastAsia="仿宋_GB2312"/>
          <w:b/>
          <w:sz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hint="eastAsia" w:ascii="仿宋" w:hAnsi="仿宋" w:eastAsia="仿宋" w:cs="仿宋"/>
          <w:b/>
          <w:bCs/>
          <w:sz w:val="32"/>
          <w:szCs w:val="32"/>
          <w:lang w:val="en-US" w:eastAsia="zh-CN" w:bidi="ar-SA"/>
        </w:rPr>
        <w:id w:val="147467763"/>
        <w15:color w:val="DBDBDB"/>
        <w:docPartObj>
          <w:docPartGallery w:val="Table of Contents"/>
          <w:docPartUnique/>
        </w:docPartObj>
      </w:sdtPr>
      <w:sdtEndPr>
        <w:rPr>
          <w:rFonts w:hint="eastAsia" w:ascii="仿宋" w:hAnsi="仿宋" w:eastAsia="仿宋" w:cs="仿宋"/>
          <w:b w:val="0"/>
          <w:bCs w:val="0"/>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sz w:val="32"/>
              <w:szCs w:val="32"/>
            </w:rPr>
          </w:pPr>
          <w:bookmarkStart w:id="2" w:name="_Toc3900"/>
          <w:bookmarkStart w:id="3" w:name="_Toc1130"/>
          <w:bookmarkStart w:id="4" w:name="_Toc22119"/>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10"/>
            <w:tabs>
              <w:tab w:val="right" w:leader="dot" w:pos="8306"/>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TOC \o "1-2" \h \u </w:instrText>
          </w:r>
          <w:r>
            <w:rPr>
              <w:rFonts w:hint="eastAsia" w:ascii="仿宋" w:hAnsi="仿宋" w:eastAsia="仿宋" w:cs="仿宋"/>
              <w:b w:val="0"/>
              <w:bCs w:val="0"/>
              <w:sz w:val="28"/>
              <w:szCs w:val="28"/>
            </w:rPr>
            <w:fldChar w:fldCharType="separate"/>
          </w:r>
        </w:p>
        <w:p>
          <w:pPr>
            <w:pStyle w:val="10"/>
            <w:keepNext w:val="0"/>
            <w:keepLines w:val="0"/>
            <w:pageBreakBefore w:val="0"/>
            <w:widowControl/>
            <w:tabs>
              <w:tab w:val="right" w:leader="dot" w:pos="8306"/>
            </w:tabs>
            <w:kinsoku/>
            <w:wordWrap/>
            <w:overflowPunct/>
            <w:topLinePunct w:val="0"/>
            <w:autoSpaceDE/>
            <w:autoSpaceDN/>
            <w:bidi w:val="0"/>
            <w:adjustRightInd/>
            <w:snapToGrid/>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_Toc29319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一、项目概述</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_Toc29319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_Toc1403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（一）研究背景</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_Toc1403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_Toc4726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（二）总体情况</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_Toc4726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_Toc22511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二、指数体系构建</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_Toc22511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_Toc18546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val="en-US" w:eastAsia="zh-CN"/>
            </w:rPr>
            <w:t>三</w:t>
          </w:r>
          <w:r>
            <w:rPr>
              <w:rFonts w:hint="eastAsia" w:ascii="仿宋" w:hAnsi="仿宋" w:eastAsia="仿宋" w:cs="仿宋"/>
              <w:b w:val="0"/>
              <w:bCs w:val="0"/>
              <w:sz w:val="28"/>
              <w:szCs w:val="28"/>
            </w:rPr>
            <w:t>、质量指数计算</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_Toc18546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_Toc24981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（一）计算方法</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_Toc24981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_Toc3549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二</w:t>
          </w:r>
          <w:r>
            <w:rPr>
              <w:rFonts w:hint="eastAsia" w:ascii="仿宋" w:hAnsi="仿宋" w:eastAsia="仿宋" w:cs="仿宋"/>
              <w:b w:val="0"/>
              <w:bCs w:val="0"/>
              <w:sz w:val="28"/>
              <w:szCs w:val="28"/>
            </w:rPr>
            <w:t>）质量指数计算</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_Toc3549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rPr>
              <w:rFonts w:hint="eastAsia" w:ascii="仿宋" w:hAnsi="仿宋" w:eastAsia="仿宋" w:cs="仿宋"/>
              <w:b w:val="0"/>
              <w:bCs w:val="0"/>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 w:hAnsi="仿宋" w:eastAsia="仿宋" w:cs="仿宋"/>
              <w:b w:val="0"/>
              <w:bCs w:val="0"/>
              <w:sz w:val="28"/>
              <w:szCs w:val="28"/>
            </w:rPr>
            <w:fldChar w:fldCharType="end"/>
          </w:r>
        </w:p>
      </w:sdtContent>
    </w:sdt>
    <w:p>
      <w:pPr>
        <w:pStyle w:val="2"/>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CESI黑体-GB2312" w:hAnsi="CESI黑体-GB2312" w:eastAsia="CESI黑体-GB2312" w:cs="CESI黑体-GB2312"/>
          <w:b w:val="0"/>
          <w:bCs w:val="0"/>
          <w:sz w:val="32"/>
          <w:szCs w:val="32"/>
        </w:rPr>
      </w:pPr>
      <w:bookmarkStart w:id="5" w:name="_Toc29319"/>
      <w:r>
        <w:rPr>
          <w:rFonts w:hint="eastAsia" w:ascii="CESI黑体-GB2312" w:hAnsi="CESI黑体-GB2312" w:eastAsia="CESI黑体-GB2312" w:cs="CESI黑体-GB2312"/>
          <w:b w:val="0"/>
          <w:bCs w:val="0"/>
          <w:sz w:val="32"/>
          <w:szCs w:val="32"/>
        </w:rPr>
        <w:t>一、项目概述</w:t>
      </w:r>
      <w:bookmarkEnd w:id="2"/>
      <w:bookmarkEnd w:id="3"/>
      <w:bookmarkEnd w:id="4"/>
      <w:bookmarkEnd w:id="5"/>
    </w:p>
    <w:p>
      <w:pPr>
        <w:pStyle w:val="3"/>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CESI楷体-GB2312" w:hAnsi="CESI楷体-GB2312" w:eastAsia="CESI楷体-GB2312" w:cs="CESI楷体-GB2312"/>
          <w:b/>
          <w:bCs/>
          <w:sz w:val="32"/>
          <w:szCs w:val="32"/>
        </w:rPr>
      </w:pPr>
      <w:bookmarkStart w:id="6" w:name="_Toc16644"/>
      <w:bookmarkStart w:id="7" w:name="_Toc9957"/>
      <w:bookmarkStart w:id="8" w:name="_Toc1403"/>
      <w:bookmarkStart w:id="9" w:name="_Toc19180"/>
      <w:r>
        <w:rPr>
          <w:rFonts w:hint="eastAsia" w:ascii="CESI楷体-GB2312" w:hAnsi="CESI楷体-GB2312" w:eastAsia="CESI楷体-GB2312" w:cs="CESI楷体-GB2312"/>
          <w:b/>
          <w:bCs/>
          <w:sz w:val="32"/>
          <w:szCs w:val="32"/>
        </w:rPr>
        <w:t>（一）研究背景</w:t>
      </w:r>
      <w:bookmarkEnd w:id="6"/>
      <w:bookmarkEnd w:id="7"/>
      <w:bookmarkEnd w:id="8"/>
      <w:bookmarkEnd w:id="9"/>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随着我国经济发展进入新常态，转变经济发展方式、实现经济高质量发展受到了国家与地方的高度重视。</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2017年9月，中共中央、国务院印发《关于开展质量提升行动的指导意见》，提出到2020年，通过质量提升行动，实现供给质量明显改善，供给体系更有效率，质量总体水平显著提升，质量强国建设取得明显成效。</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2018年9月20日，中央全面深化改革委员会第四次会议审议通过了《关于推动高质量发展的意见》。会议指出，推动高质量发展是当前和今后一个时期确定发展思路、制定经济政策、实施宏观调控的根本要求，要加快创建和完善制度环境，协调建立高质量发展的指标体系、政策体系、标准体系、统计体系、绩效评价和政绩考核办法。</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2019年，深圳市继续将2019年确定为“城市质量提升年”，将创新城市发展的主导战略，努力实现更高质量、更有效率、更加公平、更可持续的发展。</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质量指数建设作为深圳市的重点工作，是落实深圳质量，推进深圳城市质量提升的一个重要参考，是量化管理的具体表现，对全市以及各领域的质量建设和质量改进具有重要宏观指导意义。</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为落实上述工作要求，市交通运输</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组织开展了《</w:t>
      </w:r>
      <w:r>
        <w:rPr>
          <w:rFonts w:hint="eastAsia" w:ascii="CESI仿宋-GB2312" w:hAnsi="CESI仿宋-GB2312" w:eastAsia="CESI仿宋-GB2312" w:cs="CESI仿宋-GB2312"/>
          <w:sz w:val="32"/>
          <w:szCs w:val="32"/>
          <w:lang w:val="en-US" w:eastAsia="zh-CN"/>
        </w:rPr>
        <w:t>2022年度</w:t>
      </w:r>
      <w:r>
        <w:rPr>
          <w:rFonts w:hint="eastAsia" w:ascii="CESI仿宋-GB2312" w:hAnsi="CESI仿宋-GB2312" w:eastAsia="CESI仿宋-GB2312" w:cs="CESI仿宋-GB2312"/>
          <w:sz w:val="32"/>
          <w:szCs w:val="32"/>
        </w:rPr>
        <w:t>深圳市物流质量指数</w:t>
      </w:r>
      <w:r>
        <w:rPr>
          <w:rFonts w:hint="eastAsia" w:ascii="CESI仿宋-GB2312" w:hAnsi="CESI仿宋-GB2312" w:eastAsia="CESI仿宋-GB2312" w:cs="CESI仿宋-GB2312"/>
          <w:sz w:val="32"/>
          <w:szCs w:val="32"/>
          <w:lang w:val="en-US" w:eastAsia="zh-CN"/>
        </w:rPr>
        <w:t>测算工作》</w:t>
      </w:r>
      <w:r>
        <w:rPr>
          <w:rFonts w:hint="eastAsia" w:ascii="CESI仿宋-GB2312" w:hAnsi="CESI仿宋-GB2312" w:eastAsia="CESI仿宋-GB2312" w:cs="CESI仿宋-GB2312"/>
          <w:sz w:val="32"/>
          <w:szCs w:val="32"/>
        </w:rPr>
        <w:t>。</w:t>
      </w:r>
    </w:p>
    <w:p>
      <w:pPr>
        <w:pStyle w:val="3"/>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CESI楷体-GB2312" w:hAnsi="CESI楷体-GB2312" w:eastAsia="CESI楷体-GB2312" w:cs="CESI楷体-GB2312"/>
          <w:b/>
          <w:bCs/>
          <w:sz w:val="32"/>
          <w:szCs w:val="32"/>
        </w:rPr>
      </w:pPr>
      <w:bookmarkStart w:id="10" w:name="_Toc19043"/>
      <w:bookmarkStart w:id="11" w:name="_Toc23883"/>
      <w:bookmarkStart w:id="12" w:name="_Toc10507"/>
      <w:bookmarkStart w:id="13" w:name="_Toc4726"/>
      <w:r>
        <w:rPr>
          <w:rFonts w:hint="eastAsia" w:ascii="CESI楷体-GB2312" w:hAnsi="CESI楷体-GB2312" w:eastAsia="CESI楷体-GB2312" w:cs="CESI楷体-GB2312"/>
          <w:b/>
          <w:bCs/>
          <w:sz w:val="32"/>
          <w:szCs w:val="32"/>
        </w:rPr>
        <w:t>（二）总体情况</w:t>
      </w:r>
      <w:bookmarkEnd w:id="10"/>
      <w:bookmarkEnd w:id="11"/>
      <w:bookmarkEnd w:id="12"/>
      <w:bookmarkEnd w:id="13"/>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现代物流业是深圳市的四大支柱产业之一，为全市的经济和社会发展发挥了重要的作用。随着深圳积极参与“一带一路”及粤港澳大湾区建设，现代物流业的发展变得尤为重要，现代物流业质量提升对深圳提升城市发展质量和发展水平具有重要意义。因此，作为深圳质量指数的重要组成部分，深圳现代物流质量指数，需要综合考虑深圳港口物流、社会物流，以及绿色智慧物流的建设发展情况。</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评估对象：深圳市现代物流质量指数。</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工作目标：根据深圳市质量指数建设工作要求，构建适应深圳市现代物流业建设发展、反映物流业服务质量的评估指数体系，为实现深圳现代物流业有质量的稳定增长和可持续的全面发展，提供指标体系支撑。</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工作内容：围绕评估对象进行深入分析，确定指标体系，并对各指标取值进行调研；进行各测量指标的标准化转换计算；对各指标进行权重标定；分别对2010-20</w:t>
      </w:r>
      <w:r>
        <w:rPr>
          <w:rFonts w:hint="eastAsia" w:ascii="CESI仿宋-GB2312" w:hAnsi="CESI仿宋-GB2312" w:eastAsia="CESI仿宋-GB2312" w:cs="CESI仿宋-GB2312"/>
          <w:sz w:val="32"/>
          <w:szCs w:val="32"/>
          <w:lang w:val="en-US" w:eastAsia="zh-CN"/>
        </w:rPr>
        <w:t>21</w:t>
      </w:r>
      <w:r>
        <w:rPr>
          <w:rFonts w:hint="eastAsia" w:ascii="CESI仿宋-GB2312" w:hAnsi="CESI仿宋-GB2312" w:eastAsia="CESI仿宋-GB2312" w:cs="CESI仿宋-GB2312"/>
          <w:sz w:val="32"/>
          <w:szCs w:val="32"/>
        </w:rPr>
        <w:t>年的深圳市现代物流质量指数进行评测。</w:t>
      </w:r>
    </w:p>
    <w:p>
      <w:pPr>
        <w:pStyle w:val="2"/>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CESI黑体-GB2312" w:hAnsi="CESI黑体-GB2312" w:eastAsia="CESI黑体-GB2312" w:cs="CESI黑体-GB2312"/>
          <w:b w:val="0"/>
          <w:bCs w:val="0"/>
          <w:sz w:val="32"/>
          <w:szCs w:val="32"/>
        </w:rPr>
      </w:pPr>
      <w:bookmarkStart w:id="14" w:name="_Toc22511"/>
      <w:bookmarkStart w:id="15" w:name="_Toc5869"/>
      <w:bookmarkStart w:id="16" w:name="_Toc26922"/>
      <w:bookmarkStart w:id="17" w:name="_Toc4240"/>
      <w:r>
        <w:rPr>
          <w:rFonts w:hint="eastAsia" w:ascii="CESI黑体-GB2312" w:hAnsi="CESI黑体-GB2312" w:eastAsia="CESI黑体-GB2312" w:cs="CESI黑体-GB2312"/>
          <w:b w:val="0"/>
          <w:bCs w:val="0"/>
          <w:sz w:val="32"/>
          <w:szCs w:val="32"/>
        </w:rPr>
        <w:t>二、指数体系构建</w:t>
      </w:r>
      <w:bookmarkEnd w:id="14"/>
      <w:bookmarkEnd w:id="15"/>
      <w:bookmarkEnd w:id="16"/>
      <w:bookmarkEnd w:id="17"/>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深圳市现代物流质量指数</w:t>
      </w:r>
      <w:r>
        <w:rPr>
          <w:rFonts w:hint="eastAsia" w:ascii="仿宋_GB2312" w:hAnsi="仿宋" w:eastAsia="仿宋_GB2312"/>
          <w:sz w:val="32"/>
          <w:szCs w:val="32"/>
          <w:highlight w:val="none"/>
          <w:lang w:val="en-US" w:eastAsia="zh-CN"/>
        </w:rPr>
        <w:t>的</w:t>
      </w:r>
      <w:r>
        <w:rPr>
          <w:rFonts w:hint="eastAsia" w:ascii="仿宋_GB2312" w:hAnsi="仿宋" w:eastAsia="仿宋_GB2312"/>
          <w:sz w:val="32"/>
          <w:szCs w:val="32"/>
          <w:highlight w:val="none"/>
        </w:rPr>
        <w:t>指标分为质量水平</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发展能力</w:t>
      </w:r>
      <w:r>
        <w:rPr>
          <w:rFonts w:hint="eastAsia" w:ascii="仿宋_GB2312" w:hAnsi="仿宋" w:eastAsia="仿宋_GB2312"/>
          <w:sz w:val="32"/>
          <w:szCs w:val="32"/>
          <w:highlight w:val="none"/>
          <w:lang w:eastAsia="zh-CN"/>
        </w:rPr>
        <w:t>和质量获得感。为提升质量指数测算科学性、持续性，</w:t>
      </w:r>
      <w:r>
        <w:rPr>
          <w:rFonts w:hint="eastAsia" w:ascii="仿宋_GB2312" w:hAnsi="仿宋" w:eastAsia="仿宋_GB2312"/>
          <w:sz w:val="32"/>
          <w:szCs w:val="32"/>
          <w:highlight w:val="none"/>
        </w:rPr>
        <w:t>通过与行业专家、</w:t>
      </w:r>
      <w:r>
        <w:rPr>
          <w:rFonts w:hint="eastAsia" w:ascii="仿宋_GB2312" w:hAnsi="仿宋" w:eastAsia="仿宋_GB2312"/>
          <w:sz w:val="32"/>
          <w:szCs w:val="32"/>
          <w:highlight w:val="none"/>
          <w:lang w:eastAsia="zh-CN"/>
        </w:rPr>
        <w:t>主管部门</w:t>
      </w:r>
      <w:r>
        <w:rPr>
          <w:rFonts w:hint="eastAsia" w:ascii="仿宋_GB2312" w:hAnsi="仿宋" w:eastAsia="仿宋_GB2312"/>
          <w:sz w:val="32"/>
          <w:szCs w:val="32"/>
          <w:highlight w:val="none"/>
        </w:rPr>
        <w:t>进行讨论</w:t>
      </w:r>
      <w:r>
        <w:rPr>
          <w:rFonts w:hint="eastAsia" w:ascii="仿宋_GB2312" w:hAnsi="仿宋" w:eastAsia="仿宋_GB2312"/>
          <w:sz w:val="32"/>
          <w:szCs w:val="32"/>
          <w:highlight w:val="none"/>
          <w:lang w:eastAsia="zh-CN"/>
        </w:rPr>
        <w:t>，</w:t>
      </w:r>
      <w:r>
        <w:rPr>
          <w:rFonts w:hint="eastAsia" w:ascii="仿宋_GB2312" w:hAnsi="仿宋" w:eastAsia="仿宋_GB2312"/>
          <w:b w:val="0"/>
          <w:bCs w:val="0"/>
          <w:sz w:val="32"/>
          <w:szCs w:val="32"/>
          <w:highlight w:val="none"/>
          <w:lang w:val="en-US" w:eastAsia="zh-CN"/>
        </w:rPr>
        <w:t>深圳市</w:t>
      </w:r>
      <w:r>
        <w:rPr>
          <w:rFonts w:hint="eastAsia" w:ascii="仿宋_GB2312" w:hAnsi="仿宋" w:eastAsia="仿宋_GB2312"/>
          <w:b w:val="0"/>
          <w:bCs w:val="0"/>
          <w:sz w:val="32"/>
          <w:szCs w:val="32"/>
          <w:highlight w:val="none"/>
          <w:lang w:eastAsia="zh-CN"/>
        </w:rPr>
        <w:t>现代物流质量指数</w:t>
      </w:r>
      <w:r>
        <w:rPr>
          <w:rFonts w:hint="eastAsia" w:ascii="仿宋_GB2312" w:hAnsi="仿宋" w:eastAsia="仿宋_GB2312"/>
          <w:b w:val="0"/>
          <w:bCs w:val="0"/>
          <w:sz w:val="32"/>
          <w:szCs w:val="32"/>
          <w:highlight w:val="none"/>
        </w:rPr>
        <w:t>指标</w:t>
      </w:r>
      <w:r>
        <w:rPr>
          <w:rFonts w:hint="eastAsia" w:ascii="仿宋_GB2312" w:hAnsi="仿宋" w:eastAsia="仿宋_GB2312"/>
          <w:b w:val="0"/>
          <w:bCs w:val="0"/>
          <w:sz w:val="32"/>
          <w:szCs w:val="32"/>
          <w:highlight w:val="none"/>
          <w:lang w:val="en-US" w:eastAsia="zh-CN"/>
        </w:rPr>
        <w:t>体系</w:t>
      </w:r>
      <w:r>
        <w:rPr>
          <w:rFonts w:hint="eastAsia" w:ascii="仿宋_GB2312" w:hAnsi="仿宋" w:eastAsia="仿宋_GB2312"/>
          <w:b w:val="0"/>
          <w:bCs w:val="0"/>
          <w:sz w:val="32"/>
          <w:szCs w:val="32"/>
          <w:highlight w:val="none"/>
        </w:rPr>
        <w:t>如下</w:t>
      </w:r>
      <w:r>
        <w:rPr>
          <w:rFonts w:hint="eastAsia" w:ascii="仿宋_GB2312" w:hAnsi="仿宋" w:eastAsia="仿宋_GB2312"/>
          <w:b w:val="0"/>
          <w:bCs w:val="0"/>
          <w:sz w:val="32"/>
          <w:szCs w:val="32"/>
          <w:highlight w:val="none"/>
          <w:lang w:eastAsia="zh-CN"/>
        </w:rPr>
        <w:t>（表</w:t>
      </w:r>
      <w:r>
        <w:rPr>
          <w:rFonts w:hint="eastAsia" w:ascii="仿宋_GB2312" w:hAnsi="仿宋" w:eastAsia="仿宋_GB2312"/>
          <w:b w:val="0"/>
          <w:bCs w:val="0"/>
          <w:sz w:val="32"/>
          <w:szCs w:val="32"/>
          <w:highlight w:val="none"/>
          <w:lang w:val="en-US" w:eastAsia="zh-CN"/>
        </w:rPr>
        <w:t>1</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rPr>
        <w:t>。</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质量水平包括国际化水平、绿色化水平和服务安全水平。其中国际化水平包括国际港口物流航线条数</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国际航空货运量占比</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国际航空货运通航城市数三个指标。绿色化水平包括新能源货运汽车使用率和码头岸电建设数两</w:t>
      </w:r>
      <w:r>
        <w:rPr>
          <w:rFonts w:hint="eastAsia" w:ascii="仿宋_GB2312" w:hAnsi="仿宋" w:eastAsia="仿宋_GB2312"/>
          <w:sz w:val="32"/>
          <w:szCs w:val="32"/>
          <w:highlight w:val="none"/>
        </w:rPr>
        <w:t>个指标。</w:t>
      </w:r>
      <w:r>
        <w:rPr>
          <w:rFonts w:hint="eastAsia" w:ascii="仿宋_GB2312" w:hAnsi="仿宋" w:eastAsia="仿宋_GB2312"/>
          <w:sz w:val="32"/>
          <w:szCs w:val="32"/>
          <w:highlight w:val="none"/>
          <w:lang w:eastAsia="zh-CN"/>
        </w:rPr>
        <w:t>服务</w:t>
      </w:r>
      <w:r>
        <w:rPr>
          <w:rFonts w:hint="eastAsia" w:ascii="仿宋_GB2312" w:hAnsi="仿宋" w:eastAsia="仿宋_GB2312"/>
          <w:sz w:val="32"/>
          <w:szCs w:val="32"/>
          <w:highlight w:val="none"/>
        </w:rPr>
        <w:t>安全水平包括</w:t>
      </w:r>
      <w:r>
        <w:rPr>
          <w:rFonts w:hint="eastAsia" w:ascii="仿宋_GB2312" w:hAnsi="仿宋" w:eastAsia="仿宋_GB2312"/>
          <w:sz w:val="32"/>
          <w:szCs w:val="32"/>
          <w:highlight w:val="none"/>
          <w:lang w:val="en-US" w:eastAsia="zh-CN"/>
        </w:rPr>
        <w:t>道路货运事故率</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道路货运事故亡人率两</w:t>
      </w:r>
      <w:r>
        <w:rPr>
          <w:rFonts w:hint="eastAsia" w:ascii="仿宋_GB2312" w:hAnsi="仿宋" w:eastAsia="仿宋_GB2312"/>
          <w:sz w:val="32"/>
          <w:szCs w:val="32"/>
          <w:highlight w:val="none"/>
        </w:rPr>
        <w:t>个指标。</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sz w:val="32"/>
          <w:szCs w:val="32"/>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_GB2312" w:hAnsi="仿宋" w:eastAsia="仿宋_GB2312"/>
          <w:sz w:val="32"/>
          <w:szCs w:val="32"/>
          <w:highlight w:val="none"/>
        </w:rPr>
        <w:t>发展能力包括</w:t>
      </w:r>
      <w:r>
        <w:rPr>
          <w:rFonts w:hint="eastAsia" w:ascii="仿宋_GB2312" w:hAnsi="仿宋" w:eastAsia="仿宋_GB2312"/>
          <w:sz w:val="32"/>
          <w:szCs w:val="32"/>
          <w:highlight w:val="none"/>
          <w:lang w:val="en-US" w:eastAsia="zh-CN"/>
        </w:rPr>
        <w:t>结构优化能力、科技发展能力和规模优化能力。其中结构优化能力包括水水中转货运量比重</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海铁联运比例</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集装箱重箱率三个指标。科技发展能力包括智能快件箱人均拥有量和重点物流企业科技研发投入比重两个指标。规模优化能力包括物流业增加值占GDP比重</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社会物流总费用占GDP比重两</w:t>
      </w:r>
      <w:r>
        <w:rPr>
          <w:rFonts w:hint="eastAsia" w:ascii="仿宋_GB2312" w:hAnsi="仿宋" w:eastAsia="仿宋_GB2312"/>
          <w:sz w:val="32"/>
          <w:szCs w:val="32"/>
          <w:highlight w:val="none"/>
        </w:rPr>
        <w:t>个指标。</w:t>
      </w:r>
    </w:p>
    <w:p>
      <w:pPr>
        <w:jc w:val="center"/>
        <w:rPr>
          <w:rFonts w:hint="eastAsia" w:ascii="仿宋_GB2312" w:hAnsi="仿宋" w:eastAsia="仿宋_GB2312"/>
          <w:sz w:val="32"/>
          <w:szCs w:val="36"/>
        </w:rPr>
      </w:pPr>
      <w:r>
        <w:rPr>
          <w:rFonts w:hint="eastAsia" w:ascii="仿宋_GB2312" w:hAnsi="仿宋" w:eastAsia="仿宋_GB2312"/>
          <w:sz w:val="32"/>
          <w:szCs w:val="36"/>
        </w:rPr>
        <w:t>表</w:t>
      </w:r>
      <w:r>
        <w:rPr>
          <w:rFonts w:hint="eastAsia" w:ascii="仿宋_GB2312" w:hAnsi="仿宋" w:eastAsia="仿宋_GB2312"/>
          <w:sz w:val="32"/>
          <w:szCs w:val="36"/>
          <w:lang w:val="en-US" w:eastAsia="zh-CN"/>
        </w:rPr>
        <w:t>1</w:t>
      </w:r>
      <w:r>
        <w:rPr>
          <w:rFonts w:hint="eastAsia" w:ascii="仿宋_GB2312" w:hAnsi="仿宋" w:eastAsia="仿宋_GB2312"/>
          <w:sz w:val="32"/>
          <w:szCs w:val="36"/>
        </w:rPr>
        <w:t xml:space="preserve"> 深圳市现代物流质量指数</w:t>
      </w:r>
      <w:r>
        <w:rPr>
          <w:rFonts w:hint="eastAsia" w:ascii="仿宋_GB2312" w:hAnsi="仿宋" w:eastAsia="仿宋_GB2312"/>
          <w:sz w:val="32"/>
          <w:szCs w:val="36"/>
          <w:lang w:eastAsia="zh-CN"/>
        </w:rPr>
        <w:t>指标</w:t>
      </w:r>
      <w:r>
        <w:rPr>
          <w:rFonts w:hint="eastAsia" w:ascii="仿宋_GB2312" w:hAnsi="仿宋" w:eastAsia="仿宋_GB2312"/>
          <w:sz w:val="32"/>
          <w:szCs w:val="36"/>
        </w:rPr>
        <w:t>体系</w:t>
      </w:r>
    </w:p>
    <w:tbl>
      <w:tblPr>
        <w:tblStyle w:val="8"/>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310"/>
        <w:gridCol w:w="2180"/>
        <w:gridCol w:w="2863"/>
        <w:gridCol w:w="5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962" w:type="dxa"/>
            <w:shd w:val="clear" w:color="auto" w:fill="auto"/>
            <w:vAlign w:val="center"/>
          </w:tcPr>
          <w:p>
            <w:pPr>
              <w:spacing w:line="180" w:lineRule="auto"/>
              <w:jc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sz w:val="21"/>
                <w:szCs w:val="21"/>
                <w:lang w:eastAsia="zh-CN"/>
              </w:rPr>
              <w:t>指数</w:t>
            </w:r>
          </w:p>
        </w:tc>
        <w:tc>
          <w:tcPr>
            <w:tcW w:w="1310" w:type="dxa"/>
            <w:shd w:val="clear" w:color="auto" w:fill="auto"/>
            <w:vAlign w:val="center"/>
          </w:tcPr>
          <w:p>
            <w:pPr>
              <w:spacing w:line="180" w:lineRule="auto"/>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lang w:eastAsia="zh-CN"/>
              </w:rPr>
              <w:t>二</w:t>
            </w:r>
            <w:r>
              <w:rPr>
                <w:rFonts w:hint="eastAsia" w:ascii="仿宋_GB2312" w:hAnsi="仿宋_GB2312" w:eastAsia="仿宋_GB2312" w:cs="仿宋_GB2312"/>
                <w:b/>
                <w:color w:val="000000"/>
                <w:sz w:val="21"/>
                <w:szCs w:val="21"/>
              </w:rPr>
              <w:t>级</w:t>
            </w:r>
          </w:p>
          <w:p>
            <w:pPr>
              <w:spacing w:line="180" w:lineRule="auto"/>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指</w:t>
            </w:r>
            <w:r>
              <w:rPr>
                <w:rFonts w:hint="eastAsia" w:ascii="仿宋_GB2312" w:hAnsi="仿宋_GB2312" w:eastAsia="仿宋_GB2312" w:cs="仿宋_GB2312"/>
                <w:b/>
                <w:color w:val="000000"/>
                <w:sz w:val="21"/>
                <w:szCs w:val="21"/>
                <w:lang w:eastAsia="zh-CN"/>
              </w:rPr>
              <w:t>标</w:t>
            </w:r>
          </w:p>
        </w:tc>
        <w:tc>
          <w:tcPr>
            <w:tcW w:w="2180" w:type="dxa"/>
            <w:vAlign w:val="center"/>
          </w:tcPr>
          <w:p>
            <w:pPr>
              <w:spacing w:line="180" w:lineRule="auto"/>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lang w:eastAsia="zh-CN"/>
              </w:rPr>
              <w:t>三</w:t>
            </w:r>
            <w:r>
              <w:rPr>
                <w:rFonts w:hint="eastAsia" w:ascii="仿宋_GB2312" w:hAnsi="仿宋_GB2312" w:eastAsia="仿宋_GB2312" w:cs="仿宋_GB2312"/>
                <w:b/>
                <w:color w:val="000000"/>
                <w:sz w:val="21"/>
                <w:szCs w:val="21"/>
              </w:rPr>
              <w:t>级</w:t>
            </w:r>
          </w:p>
          <w:p>
            <w:pPr>
              <w:spacing w:line="180" w:lineRule="auto"/>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指标</w:t>
            </w:r>
          </w:p>
        </w:tc>
        <w:tc>
          <w:tcPr>
            <w:tcW w:w="2863" w:type="dxa"/>
            <w:shd w:val="clear" w:color="auto" w:fill="auto"/>
            <w:vAlign w:val="center"/>
          </w:tcPr>
          <w:p>
            <w:pPr>
              <w:spacing w:line="180" w:lineRule="auto"/>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lang w:eastAsia="zh-CN"/>
              </w:rPr>
              <w:t>四级</w:t>
            </w:r>
            <w:r>
              <w:rPr>
                <w:rFonts w:hint="eastAsia" w:ascii="仿宋_GB2312" w:hAnsi="仿宋_GB2312" w:eastAsia="仿宋_GB2312" w:cs="仿宋_GB2312"/>
                <w:b/>
                <w:color w:val="000000"/>
                <w:sz w:val="21"/>
                <w:szCs w:val="21"/>
              </w:rPr>
              <w:t>指标</w:t>
            </w:r>
          </w:p>
        </w:tc>
        <w:tc>
          <w:tcPr>
            <w:tcW w:w="5853" w:type="dxa"/>
            <w:vAlign w:val="center"/>
          </w:tcPr>
          <w:p>
            <w:pPr>
              <w:spacing w:line="180" w:lineRule="auto"/>
              <w:jc w:val="center"/>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color w:val="000000"/>
                <w:sz w:val="21"/>
                <w:szCs w:val="21"/>
                <w:lang w:val="en-US"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restart"/>
            <w:shd w:val="clear" w:color="auto" w:fill="auto"/>
            <w:vAlign w:val="center"/>
          </w:tcPr>
          <w:p>
            <w:pPr>
              <w:spacing w:line="18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现代物流</w:t>
            </w:r>
            <w:r>
              <w:rPr>
                <w:rFonts w:hint="eastAsia" w:ascii="仿宋_GB2312" w:hAnsi="仿宋_GB2312" w:eastAsia="仿宋_GB2312" w:cs="仿宋_GB2312"/>
                <w:color w:val="000000"/>
                <w:sz w:val="21"/>
                <w:szCs w:val="21"/>
                <w:lang w:eastAsia="zh-CN"/>
              </w:rPr>
              <w:t>质量指数</w:t>
            </w:r>
          </w:p>
        </w:tc>
        <w:tc>
          <w:tcPr>
            <w:tcW w:w="1310" w:type="dxa"/>
            <w:vMerge w:val="restart"/>
            <w:vAlign w:val="center"/>
          </w:tcPr>
          <w:p>
            <w:pPr>
              <w:spacing w:line="180" w:lineRule="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质量水平</w:t>
            </w:r>
          </w:p>
        </w:tc>
        <w:tc>
          <w:tcPr>
            <w:tcW w:w="2180" w:type="dxa"/>
            <w:vMerge w:val="restart"/>
            <w:vAlign w:val="center"/>
          </w:tcPr>
          <w:p>
            <w:pPr>
              <w:spacing w:line="18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国际化水平</w:t>
            </w: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国际港口物流航线条数</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深圳市港口开通国际航线条数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国际航空货运量占比</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eastAsia="zh-CN"/>
              </w:rPr>
              <w:t>深圳市国际航线货邮吞吐量占机场货运吞吐量的比例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国际航空货运通航城市数</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深圳市拥有国际航空货运通航城市数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restart"/>
            <w:vAlign w:val="center"/>
          </w:tcPr>
          <w:p>
            <w:pPr>
              <w:spacing w:line="18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绿色化水平</w:t>
            </w: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新能源货运汽车使用率</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深圳市新能源货车数量与深圳市内货运车辆总数的占比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码头岸电建设数</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eastAsia="zh-CN"/>
              </w:rPr>
              <w:t>深圳市码头岸电覆盖泊位数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restart"/>
            <w:vAlign w:val="center"/>
          </w:tcPr>
          <w:p>
            <w:pPr>
              <w:spacing w:line="180" w:lineRule="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服务安全水平</w:t>
            </w: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道路货运事故率</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highlight w:val="none"/>
              </w:rPr>
              <w:t>深圳市内发生</w:t>
            </w:r>
            <w:r>
              <w:rPr>
                <w:rFonts w:hint="eastAsia" w:ascii="仿宋_GB2312" w:hAnsi="仿宋_GB2312" w:eastAsia="仿宋_GB2312" w:cs="仿宋_GB2312"/>
                <w:sz w:val="21"/>
                <w:szCs w:val="21"/>
                <w:highlight w:val="none"/>
                <w:lang w:val="en-US" w:eastAsia="zh-CN"/>
              </w:rPr>
              <w:t>公路</w:t>
            </w:r>
            <w:r>
              <w:rPr>
                <w:rFonts w:hint="eastAsia" w:ascii="仿宋_GB2312" w:hAnsi="仿宋_GB2312" w:eastAsia="仿宋_GB2312" w:cs="仿宋_GB2312"/>
                <w:sz w:val="21"/>
                <w:szCs w:val="21"/>
                <w:highlight w:val="none"/>
              </w:rPr>
              <w:t>货运车辆事故</w:t>
            </w:r>
            <w:r>
              <w:rPr>
                <w:rFonts w:hint="eastAsia" w:ascii="仿宋_GB2312" w:hAnsi="仿宋_GB2312" w:eastAsia="仿宋_GB2312" w:cs="仿宋_GB2312"/>
                <w:sz w:val="21"/>
                <w:szCs w:val="21"/>
                <w:highlight w:val="none"/>
                <w:lang w:val="en-US" w:eastAsia="zh-CN"/>
              </w:rPr>
              <w:t>总</w:t>
            </w:r>
            <w:r>
              <w:rPr>
                <w:rFonts w:hint="eastAsia" w:ascii="仿宋_GB2312" w:hAnsi="仿宋_GB2312" w:eastAsia="仿宋_GB2312" w:cs="仿宋_GB2312"/>
                <w:sz w:val="21"/>
                <w:szCs w:val="21"/>
                <w:highlight w:val="none"/>
              </w:rPr>
              <w:t>数占货运车辆总数的比例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道路货运事故亡人率</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深圳市道路货运行业事故死亡人数与货运周转量的比值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restart"/>
            <w:shd w:val="clear" w:color="auto" w:fill="auto"/>
            <w:vAlign w:val="center"/>
          </w:tcPr>
          <w:p>
            <w:pPr>
              <w:spacing w:line="180" w:lineRule="auto"/>
              <w:jc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发展能力</w:t>
            </w:r>
          </w:p>
        </w:tc>
        <w:tc>
          <w:tcPr>
            <w:tcW w:w="2180" w:type="dxa"/>
            <w:vMerge w:val="restart"/>
            <w:vAlign w:val="center"/>
          </w:tcPr>
          <w:p>
            <w:pPr>
              <w:spacing w:line="180" w:lineRule="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结构优化能力</w:t>
            </w: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水水中转货运量比重</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深圳市港口</w:t>
            </w:r>
            <w:r>
              <w:rPr>
                <w:rFonts w:hint="eastAsia" w:ascii="仿宋_GB2312" w:hAnsi="仿宋_GB2312" w:eastAsia="仿宋_GB2312" w:cs="仿宋_GB2312"/>
                <w:color w:val="000000" w:themeColor="text1"/>
                <w:sz w:val="21"/>
                <w:szCs w:val="21"/>
                <w14:textFill>
                  <w14:solidFill>
                    <w14:schemeClr w14:val="tx1"/>
                  </w14:solidFill>
                </w14:textFill>
              </w:rPr>
              <w:t>水水中转的货运量占港口货运量的比例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海铁联运比例</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eastAsia="zh-CN"/>
              </w:rPr>
              <w:t>深圳市港口</w:t>
            </w:r>
            <w:r>
              <w:rPr>
                <w:rFonts w:hint="eastAsia" w:ascii="仿宋_GB2312" w:hAnsi="仿宋_GB2312" w:eastAsia="仿宋_GB2312" w:cs="仿宋_GB2312"/>
                <w:sz w:val="21"/>
                <w:szCs w:val="21"/>
              </w:rPr>
              <w:t>海铁联运的货物</w:t>
            </w:r>
            <w:r>
              <w:rPr>
                <w:rFonts w:hint="eastAsia" w:ascii="仿宋_GB2312" w:hAnsi="仿宋_GB2312" w:eastAsia="仿宋_GB2312" w:cs="仿宋_GB2312"/>
                <w:sz w:val="21"/>
                <w:szCs w:val="21"/>
                <w:lang w:eastAsia="zh-CN"/>
              </w:rPr>
              <w:t>吞吐量</w:t>
            </w:r>
            <w:r>
              <w:rPr>
                <w:rFonts w:hint="eastAsia" w:ascii="仿宋_GB2312" w:hAnsi="仿宋_GB2312" w:eastAsia="仿宋_GB2312" w:cs="仿宋_GB2312"/>
                <w:sz w:val="21"/>
                <w:szCs w:val="21"/>
              </w:rPr>
              <w:t>占港口货物</w:t>
            </w:r>
            <w:r>
              <w:rPr>
                <w:rFonts w:hint="eastAsia" w:ascii="仿宋_GB2312" w:hAnsi="仿宋_GB2312" w:eastAsia="仿宋_GB2312" w:cs="仿宋_GB2312"/>
                <w:sz w:val="21"/>
                <w:szCs w:val="21"/>
                <w:lang w:eastAsia="zh-CN"/>
              </w:rPr>
              <w:t>吞吐量</w:t>
            </w:r>
            <w:r>
              <w:rPr>
                <w:rFonts w:hint="eastAsia" w:ascii="仿宋_GB2312" w:hAnsi="仿宋_GB2312" w:eastAsia="仿宋_GB2312" w:cs="仿宋_GB2312"/>
                <w:sz w:val="21"/>
                <w:szCs w:val="21"/>
              </w:rPr>
              <w:t>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集装箱重箱率</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eastAsia="zh-CN"/>
              </w:rPr>
              <w:t>深圳市港口集装箱重箱吞吐量与港口总集装箱吞吐量的比值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restart"/>
            <w:vAlign w:val="center"/>
          </w:tcPr>
          <w:p>
            <w:pPr>
              <w:spacing w:line="180" w:lineRule="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科技发展能力</w:t>
            </w: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智能快件箱人均拥有量</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深圳市智能快件箱总数与深圳市常住人口数量的比值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863"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重点物流企业科技研发投入比重</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重点物流企业科技研发投入总额与总收入的比值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restart"/>
            <w:vAlign w:val="center"/>
          </w:tcPr>
          <w:p>
            <w:pPr>
              <w:spacing w:line="180" w:lineRule="auto"/>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规模优化能力</w:t>
            </w: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物流业增加值占GDP比重</w:t>
            </w:r>
          </w:p>
        </w:tc>
        <w:tc>
          <w:tcPr>
            <w:tcW w:w="5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highlight w:val="none"/>
              </w:rPr>
              <w:t>深圳市物流业增加值占深圳市GDP的</w:t>
            </w:r>
            <w:r>
              <w:rPr>
                <w:rFonts w:hint="eastAsia" w:ascii="仿宋_GB2312" w:hAnsi="仿宋_GB2312" w:eastAsia="仿宋_GB2312" w:cs="仿宋_GB2312"/>
                <w:sz w:val="21"/>
                <w:szCs w:val="21"/>
                <w:highlight w:val="none"/>
                <w:lang w:eastAsia="zh-CN"/>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2180" w:type="dxa"/>
            <w:vMerge w:val="continue"/>
            <w:vAlign w:val="center"/>
          </w:tcPr>
          <w:p>
            <w:pPr>
              <w:spacing w:line="180" w:lineRule="auto"/>
              <w:jc w:val="center"/>
              <w:rPr>
                <w:rFonts w:hint="eastAsia" w:ascii="仿宋_GB2312" w:hAnsi="仿宋_GB2312" w:eastAsia="仿宋_GB2312" w:cs="仿宋_GB2312"/>
                <w:color w:val="000000"/>
                <w:sz w:val="21"/>
                <w:szCs w:val="21"/>
              </w:rPr>
            </w:pPr>
          </w:p>
        </w:tc>
        <w:tc>
          <w:tcPr>
            <w:tcW w:w="2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社会物流总费用占GDP比重</w:t>
            </w:r>
          </w:p>
        </w:tc>
        <w:tc>
          <w:tcPr>
            <w:tcW w:w="5853"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sz w:val="21"/>
                <w:szCs w:val="21"/>
              </w:rPr>
              <w:t>深圳市社会物流总费用占深圳市GDP的比重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962"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1"/>
                <w:szCs w:val="21"/>
              </w:rPr>
            </w:pPr>
          </w:p>
        </w:tc>
        <w:tc>
          <w:tcPr>
            <w:tcW w:w="1310" w:type="dxa"/>
            <w:shd w:val="clear" w:color="auto" w:fill="auto"/>
            <w:vAlign w:val="center"/>
          </w:tcPr>
          <w:p>
            <w:pPr>
              <w:spacing w:line="18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质量获得感</w:t>
            </w:r>
          </w:p>
        </w:tc>
        <w:tc>
          <w:tcPr>
            <w:tcW w:w="2180" w:type="dxa"/>
            <w:vAlign w:val="center"/>
          </w:tcPr>
          <w:p>
            <w:pPr>
              <w:spacing w:line="18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顾客满意度</w:t>
            </w:r>
          </w:p>
        </w:tc>
        <w:tc>
          <w:tcPr>
            <w:tcW w:w="8716" w:type="dxa"/>
            <w:gridSpan w:val="2"/>
            <w:shd w:val="clear" w:color="auto" w:fill="auto"/>
            <w:vAlign w:val="center"/>
          </w:tcPr>
          <w:p>
            <w:pPr>
              <w:spacing w:line="18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顾客满意度</w:t>
            </w:r>
          </w:p>
        </w:tc>
      </w:tr>
    </w:tbl>
    <w:p>
      <w:pPr>
        <w:jc w:val="center"/>
        <w:rPr>
          <w:rFonts w:hint="eastAsia" w:ascii="仿宋_GB2312" w:hAnsi="仿宋" w:eastAsia="仿宋_GB2312"/>
          <w:sz w:val="28"/>
          <w:szCs w:val="32"/>
        </w:rPr>
      </w:pPr>
    </w:p>
    <w:p>
      <w:pPr>
        <w:rPr>
          <w:rFonts w:ascii="仿宋_GB2312" w:hAnsi="仿宋" w:eastAsia="仿宋_GB2312"/>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2"/>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CESI黑体-GB2312" w:hAnsi="CESI黑体-GB2312" w:eastAsia="CESI黑体-GB2312" w:cs="CESI黑体-GB2312"/>
          <w:b w:val="0"/>
          <w:bCs w:val="0"/>
          <w:sz w:val="32"/>
          <w:szCs w:val="32"/>
        </w:rPr>
      </w:pPr>
      <w:bookmarkStart w:id="18" w:name="_Toc17744"/>
      <w:bookmarkStart w:id="19" w:name="_Toc6339"/>
      <w:bookmarkStart w:id="20" w:name="_Toc18546"/>
      <w:bookmarkStart w:id="21" w:name="_Toc14346"/>
      <w:r>
        <w:rPr>
          <w:rFonts w:hint="eastAsia" w:ascii="CESI黑体-GB2312" w:hAnsi="CESI黑体-GB2312" w:eastAsia="CESI黑体-GB2312" w:cs="CESI黑体-GB2312"/>
          <w:b w:val="0"/>
          <w:bCs w:val="0"/>
          <w:sz w:val="32"/>
          <w:szCs w:val="32"/>
          <w:lang w:val="en-US" w:eastAsia="zh-CN"/>
        </w:rPr>
        <w:t>三</w:t>
      </w:r>
      <w:r>
        <w:rPr>
          <w:rFonts w:hint="eastAsia" w:ascii="CESI黑体-GB2312" w:hAnsi="CESI黑体-GB2312" w:eastAsia="CESI黑体-GB2312" w:cs="CESI黑体-GB2312"/>
          <w:b w:val="0"/>
          <w:bCs w:val="0"/>
          <w:sz w:val="32"/>
          <w:szCs w:val="32"/>
        </w:rPr>
        <w:t>、质量指数计算</w:t>
      </w:r>
      <w:bookmarkEnd w:id="18"/>
      <w:bookmarkEnd w:id="19"/>
      <w:bookmarkEnd w:id="20"/>
      <w:bookmarkEnd w:id="21"/>
    </w:p>
    <w:p>
      <w:pPr>
        <w:pStyle w:val="3"/>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CESI楷体-GB2312" w:hAnsi="CESI楷体-GB2312" w:eastAsia="CESI楷体-GB2312" w:cs="CESI楷体-GB2312"/>
          <w:b/>
          <w:bCs/>
          <w:sz w:val="32"/>
          <w:szCs w:val="32"/>
        </w:rPr>
      </w:pPr>
      <w:bookmarkStart w:id="22" w:name="_Toc24981"/>
      <w:bookmarkStart w:id="23" w:name="_Toc12287"/>
      <w:bookmarkStart w:id="24" w:name="_Toc31036"/>
      <w:bookmarkStart w:id="25" w:name="_Toc4231"/>
      <w:r>
        <w:rPr>
          <w:rFonts w:hint="eastAsia" w:ascii="CESI楷体-GB2312" w:hAnsi="CESI楷体-GB2312" w:eastAsia="CESI楷体-GB2312" w:cs="CESI楷体-GB2312"/>
          <w:b/>
          <w:bCs/>
          <w:sz w:val="32"/>
          <w:szCs w:val="32"/>
        </w:rPr>
        <w:t>（一）计算方法</w:t>
      </w:r>
      <w:bookmarkEnd w:id="22"/>
      <w:bookmarkEnd w:id="23"/>
      <w:bookmarkEnd w:id="24"/>
      <w:bookmarkEnd w:id="25"/>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深圳现代物流质量指数计算公式如下</w:t>
      </w:r>
      <w:r>
        <w:rPr>
          <w:rFonts w:hint="eastAsia" w:ascii="仿宋_GB2312" w:hAnsi="仿宋" w:eastAsia="仿宋_GB2312"/>
          <w:sz w:val="32"/>
          <w:szCs w:val="32"/>
          <w:lang w:eastAsia="zh-CN"/>
        </w:rPr>
        <w:t>：</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E=Mi×Pi</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式中：</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E——现代物流质量指数得分；</w:t>
      </w:r>
      <w:bookmarkStart w:id="30" w:name="_GoBack"/>
      <w:bookmarkEnd w:id="30"/>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Mi——指数各考察指标得分；</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Pi——计算的Mi指标权重值，所有指标权重值之和为1</w:t>
      </w:r>
      <w:r>
        <w:rPr>
          <w:rFonts w:ascii="仿宋_GB2312" w:hAnsi="仿宋" w:eastAsia="仿宋_GB2312"/>
          <w:sz w:val="32"/>
          <w:szCs w:val="32"/>
        </w:rPr>
        <w:t>.</w:t>
      </w:r>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上文已经对各指标进行了标准化转换，因此，需要明确各指标权重，才能计算出深圳现代物流质量指数得分。</w:t>
      </w:r>
    </w:p>
    <w:p>
      <w:pPr>
        <w:pStyle w:val="3"/>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CESI楷体-GB2312" w:hAnsi="CESI楷体-GB2312" w:eastAsia="CESI楷体-GB2312" w:cs="CESI楷体-GB2312"/>
          <w:b/>
          <w:bCs/>
          <w:sz w:val="32"/>
          <w:szCs w:val="32"/>
        </w:rPr>
      </w:pPr>
      <w:bookmarkStart w:id="26" w:name="_Toc105"/>
      <w:bookmarkStart w:id="27" w:name="_Toc28840"/>
      <w:bookmarkStart w:id="28" w:name="_Toc3549"/>
      <w:bookmarkStart w:id="29" w:name="_Toc21767"/>
      <w:r>
        <w:rPr>
          <w:rFonts w:hint="eastAsia" w:ascii="CESI楷体-GB2312" w:hAnsi="CESI楷体-GB2312" w:eastAsia="CESI楷体-GB2312" w:cs="CESI楷体-GB2312"/>
          <w:b/>
          <w:bCs/>
          <w:sz w:val="32"/>
          <w:szCs w:val="32"/>
        </w:rPr>
        <w:t>（</w:t>
      </w:r>
      <w:r>
        <w:rPr>
          <w:rFonts w:hint="eastAsia" w:ascii="CESI楷体-GB2312" w:hAnsi="CESI楷体-GB2312" w:eastAsia="CESI楷体-GB2312" w:cs="CESI楷体-GB2312"/>
          <w:b/>
          <w:bCs/>
          <w:sz w:val="32"/>
          <w:szCs w:val="32"/>
          <w:lang w:val="en-US" w:eastAsia="zh-CN"/>
        </w:rPr>
        <w:t>二</w:t>
      </w:r>
      <w:r>
        <w:rPr>
          <w:rFonts w:hint="eastAsia" w:ascii="CESI楷体-GB2312" w:hAnsi="CESI楷体-GB2312" w:eastAsia="CESI楷体-GB2312" w:cs="CESI楷体-GB2312"/>
          <w:b/>
          <w:bCs/>
          <w:sz w:val="32"/>
          <w:szCs w:val="32"/>
        </w:rPr>
        <w:t>）质量指数计算</w:t>
      </w:r>
      <w:bookmarkEnd w:id="26"/>
      <w:bookmarkEnd w:id="27"/>
      <w:bookmarkEnd w:id="28"/>
      <w:bookmarkEnd w:id="29"/>
    </w:p>
    <w:p>
      <w:pPr>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 w:eastAsia="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 w:eastAsia="仿宋_GB2312"/>
          <w:sz w:val="32"/>
          <w:szCs w:val="32"/>
        </w:rPr>
        <w:t>根据各个指标的标准化数值和权重，对其进行加权平均计算，得出2010年—20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年深圳市</w:t>
      </w:r>
      <w:r>
        <w:rPr>
          <w:rFonts w:hint="eastAsia" w:ascii="仿宋_GB2312" w:hAnsi="仿宋" w:eastAsia="仿宋_GB2312"/>
          <w:sz w:val="32"/>
          <w:szCs w:val="32"/>
          <w:lang w:eastAsia="zh-CN"/>
        </w:rPr>
        <w:t>现代</w:t>
      </w:r>
      <w:r>
        <w:rPr>
          <w:rFonts w:hint="eastAsia" w:ascii="仿宋_GB2312" w:hAnsi="仿宋" w:eastAsia="仿宋_GB2312"/>
          <w:sz w:val="32"/>
          <w:szCs w:val="32"/>
        </w:rPr>
        <w:t>物流质量指数分别为</w:t>
      </w:r>
      <w:r>
        <w:rPr>
          <w:rFonts w:hint="eastAsia" w:ascii="仿宋_GB2312" w:hAnsi="仿宋" w:eastAsia="仿宋_GB2312"/>
          <w:sz w:val="32"/>
          <w:szCs w:val="32"/>
          <w:lang w:val="en-US" w:eastAsia="zh-CN"/>
        </w:rPr>
        <w:t>65.72</w:t>
      </w:r>
      <w:r>
        <w:rPr>
          <w:rFonts w:hint="eastAsia" w:ascii="仿宋_GB2312" w:hAnsi="仿宋" w:eastAsia="仿宋_GB2312"/>
          <w:sz w:val="32"/>
          <w:szCs w:val="32"/>
        </w:rPr>
        <w:t>、</w:t>
      </w:r>
      <w:r>
        <w:rPr>
          <w:rFonts w:hint="eastAsia" w:ascii="仿宋_GB2312" w:hAnsi="仿宋" w:eastAsia="仿宋_GB2312"/>
          <w:sz w:val="32"/>
          <w:szCs w:val="32"/>
          <w:lang w:val="en-US" w:eastAsia="zh-CN"/>
        </w:rPr>
        <w:t>68.26</w:t>
      </w:r>
      <w:r>
        <w:rPr>
          <w:rFonts w:hint="eastAsia" w:ascii="仿宋_GB2312" w:hAnsi="仿宋" w:eastAsia="仿宋_GB2312"/>
          <w:sz w:val="32"/>
          <w:szCs w:val="32"/>
        </w:rPr>
        <w:t>、</w:t>
      </w:r>
      <w:r>
        <w:rPr>
          <w:rFonts w:hint="eastAsia" w:ascii="仿宋_GB2312" w:hAnsi="仿宋" w:eastAsia="仿宋_GB2312"/>
          <w:sz w:val="32"/>
          <w:szCs w:val="32"/>
          <w:lang w:val="en-US" w:eastAsia="zh-CN"/>
        </w:rPr>
        <w:t>68.48</w:t>
      </w:r>
      <w:r>
        <w:rPr>
          <w:rFonts w:hint="eastAsia" w:ascii="仿宋_GB2312" w:hAnsi="仿宋" w:eastAsia="仿宋_GB2312"/>
          <w:sz w:val="32"/>
          <w:szCs w:val="32"/>
        </w:rPr>
        <w:t>、</w:t>
      </w:r>
      <w:r>
        <w:rPr>
          <w:rFonts w:hint="eastAsia" w:ascii="仿宋_GB2312" w:hAnsi="仿宋" w:eastAsia="仿宋_GB2312"/>
          <w:sz w:val="32"/>
          <w:szCs w:val="32"/>
          <w:lang w:val="en-US" w:eastAsia="zh-CN"/>
        </w:rPr>
        <w:t>69.72</w:t>
      </w:r>
      <w:r>
        <w:rPr>
          <w:rFonts w:hint="eastAsia" w:ascii="仿宋_GB2312" w:hAnsi="仿宋" w:eastAsia="仿宋_GB2312"/>
          <w:sz w:val="32"/>
          <w:szCs w:val="32"/>
        </w:rPr>
        <w:t>、</w:t>
      </w:r>
      <w:r>
        <w:rPr>
          <w:rFonts w:hint="eastAsia" w:ascii="仿宋_GB2312" w:hAnsi="仿宋" w:eastAsia="仿宋_GB2312"/>
          <w:sz w:val="32"/>
          <w:szCs w:val="32"/>
          <w:lang w:val="en-US" w:eastAsia="zh-CN"/>
        </w:rPr>
        <w:t>74.92</w:t>
      </w:r>
      <w:r>
        <w:rPr>
          <w:rFonts w:hint="eastAsia" w:ascii="仿宋_GB2312" w:hAnsi="仿宋" w:eastAsia="仿宋_GB2312"/>
          <w:sz w:val="32"/>
          <w:szCs w:val="32"/>
        </w:rPr>
        <w:t>、</w:t>
      </w:r>
      <w:r>
        <w:rPr>
          <w:rFonts w:hint="eastAsia" w:ascii="仿宋_GB2312" w:hAnsi="仿宋" w:eastAsia="仿宋_GB2312"/>
          <w:sz w:val="32"/>
          <w:szCs w:val="32"/>
          <w:lang w:val="en-US" w:eastAsia="zh-CN"/>
        </w:rPr>
        <w:t>75.35</w:t>
      </w:r>
      <w:r>
        <w:rPr>
          <w:rFonts w:hint="eastAsia" w:ascii="仿宋_GB2312" w:hAnsi="仿宋" w:eastAsia="仿宋_GB2312"/>
          <w:sz w:val="32"/>
          <w:szCs w:val="32"/>
        </w:rPr>
        <w:t>、</w:t>
      </w:r>
      <w:r>
        <w:rPr>
          <w:rFonts w:hint="eastAsia" w:ascii="仿宋_GB2312" w:hAnsi="仿宋" w:eastAsia="仿宋_GB2312"/>
          <w:sz w:val="32"/>
          <w:szCs w:val="32"/>
          <w:lang w:val="en-US" w:eastAsia="zh-CN"/>
        </w:rPr>
        <w:t>76.32</w:t>
      </w:r>
      <w:r>
        <w:rPr>
          <w:rFonts w:hint="eastAsia" w:ascii="仿宋_GB2312" w:hAnsi="仿宋" w:eastAsia="仿宋_GB2312"/>
          <w:sz w:val="32"/>
          <w:szCs w:val="32"/>
        </w:rPr>
        <w:t>、</w:t>
      </w:r>
      <w:r>
        <w:rPr>
          <w:rFonts w:hint="eastAsia" w:ascii="仿宋_GB2312" w:hAnsi="仿宋" w:eastAsia="仿宋_GB2312"/>
          <w:sz w:val="32"/>
          <w:szCs w:val="32"/>
          <w:lang w:val="en-US" w:eastAsia="zh-CN"/>
        </w:rPr>
        <w:t>75.86</w:t>
      </w:r>
      <w:r>
        <w:rPr>
          <w:rFonts w:hint="eastAsia" w:ascii="仿宋_GB2312" w:hAnsi="仿宋" w:eastAsia="仿宋_GB2312"/>
          <w:sz w:val="32"/>
          <w:szCs w:val="32"/>
        </w:rPr>
        <w:t>、</w:t>
      </w:r>
      <w:r>
        <w:rPr>
          <w:rFonts w:hint="eastAsia" w:ascii="仿宋_GB2312" w:hAnsi="仿宋" w:eastAsia="仿宋_GB2312"/>
          <w:sz w:val="32"/>
          <w:szCs w:val="32"/>
          <w:lang w:val="en-US" w:eastAsia="zh-CN"/>
        </w:rPr>
        <w:t>77.35、81.47、81.83、82.29</w:t>
      </w:r>
      <w:r>
        <w:rPr>
          <w:rFonts w:hint="eastAsia" w:ascii="仿宋_GB2312" w:hAnsi="仿宋" w:eastAsia="仿宋_GB2312"/>
          <w:sz w:val="32"/>
          <w:szCs w:val="32"/>
        </w:rPr>
        <w:t>，具体数据</w:t>
      </w:r>
      <w:r>
        <w:rPr>
          <w:rFonts w:hint="eastAsia" w:ascii="仿宋_GB2312" w:hAnsi="仿宋" w:eastAsia="仿宋_GB2312"/>
          <w:sz w:val="32"/>
          <w:szCs w:val="32"/>
          <w:lang w:eastAsia="zh-CN"/>
        </w:rPr>
        <w:t>如</w:t>
      </w:r>
      <w:r>
        <w:rPr>
          <w:rFonts w:hint="eastAsia" w:ascii="仿宋_GB2312" w:hAnsi="仿宋" w:eastAsia="仿宋_GB2312"/>
          <w:sz w:val="32"/>
          <w:szCs w:val="32"/>
          <w:lang w:val="en-US" w:eastAsia="zh-CN"/>
        </w:rPr>
        <w:t>表2所示。</w:t>
      </w:r>
    </w:p>
    <w:p>
      <w:pPr>
        <w:spacing w:line="360" w:lineRule="auto"/>
        <w:jc w:val="center"/>
        <w:rPr>
          <w:rFonts w:hint="eastAsia" w:ascii="仿宋_GB2312" w:hAnsi="仿宋" w:eastAsia="仿宋_GB2312"/>
          <w:sz w:val="28"/>
        </w:rPr>
      </w:pPr>
      <w:r>
        <w:rPr>
          <w:rFonts w:hint="eastAsia" w:ascii="仿宋_GB2312" w:hAnsi="仿宋" w:eastAsia="仿宋_GB2312"/>
          <w:sz w:val="28"/>
        </w:rPr>
        <w:t>表</w:t>
      </w:r>
      <w:r>
        <w:rPr>
          <w:rFonts w:hint="eastAsia" w:ascii="仿宋_GB2312" w:hAnsi="仿宋" w:eastAsia="仿宋_GB2312"/>
          <w:sz w:val="28"/>
          <w:lang w:val="en-US" w:eastAsia="zh-CN"/>
        </w:rPr>
        <w:t>2</w:t>
      </w:r>
      <w:r>
        <w:rPr>
          <w:rFonts w:hint="eastAsia" w:ascii="仿宋_GB2312" w:hAnsi="仿宋" w:eastAsia="仿宋_GB2312"/>
          <w:sz w:val="28"/>
        </w:rPr>
        <w:t xml:space="preserve"> 现代物流质量指数</w:t>
      </w:r>
      <w:r>
        <w:rPr>
          <w:rFonts w:hint="eastAsia" w:ascii="仿宋_GB2312" w:hAnsi="仿宋" w:eastAsia="仿宋_GB2312"/>
          <w:sz w:val="28"/>
          <w:lang w:eastAsia="zh-CN"/>
        </w:rPr>
        <w:t>指标</w:t>
      </w:r>
      <w:r>
        <w:rPr>
          <w:rFonts w:hint="eastAsia" w:ascii="仿宋_GB2312" w:hAnsi="仿宋" w:eastAsia="仿宋_GB2312"/>
          <w:sz w:val="28"/>
        </w:rPr>
        <w:t>体系及测评结果</w:t>
      </w:r>
    </w:p>
    <w:tbl>
      <w:tblPr>
        <w:tblStyle w:val="8"/>
        <w:tblW w:w="14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919"/>
        <w:gridCol w:w="920"/>
        <w:gridCol w:w="1718"/>
        <w:gridCol w:w="768"/>
        <w:gridCol w:w="1"/>
        <w:gridCol w:w="767"/>
        <w:gridCol w:w="2"/>
        <w:gridCol w:w="766"/>
        <w:gridCol w:w="3"/>
        <w:gridCol w:w="765"/>
        <w:gridCol w:w="4"/>
        <w:gridCol w:w="764"/>
        <w:gridCol w:w="5"/>
        <w:gridCol w:w="763"/>
        <w:gridCol w:w="6"/>
        <w:gridCol w:w="762"/>
        <w:gridCol w:w="7"/>
        <w:gridCol w:w="761"/>
        <w:gridCol w:w="8"/>
        <w:gridCol w:w="760"/>
        <w:gridCol w:w="9"/>
        <w:gridCol w:w="759"/>
        <w:gridCol w:w="10"/>
        <w:gridCol w:w="758"/>
        <w:gridCol w:w="11"/>
        <w:gridCol w:w="757"/>
        <w:gridCol w:w="12"/>
        <w:gridCol w:w="756"/>
        <w:gridCol w:w="13"/>
        <w:gridCol w:w="76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9" w:type="dxa"/>
            <w:vMerge w:val="restart"/>
            <w:shd w:val="clear" w:color="auto" w:fill="auto"/>
            <w:vAlign w:val="center"/>
          </w:tcPr>
          <w:p>
            <w:pPr>
              <w:spacing w:line="180" w:lineRule="auto"/>
              <w:jc w:val="center"/>
              <w:rPr>
                <w:rFonts w:hint="eastAsia" w:ascii="仿宋_GB2312" w:hAnsi="仿宋_GB2312" w:eastAsia="仿宋_GB2312" w:cs="仿宋_GB2312"/>
                <w:b/>
                <w:color w:val="000000"/>
                <w:sz w:val="20"/>
                <w:szCs w:val="20"/>
                <w:lang w:eastAsia="zh-CN"/>
              </w:rPr>
            </w:pPr>
            <w:r>
              <w:rPr>
                <w:rFonts w:hint="eastAsia" w:ascii="仿宋_GB2312" w:hAnsi="仿宋_GB2312" w:eastAsia="仿宋_GB2312" w:cs="仿宋_GB2312"/>
                <w:b/>
                <w:color w:val="000000"/>
                <w:sz w:val="20"/>
                <w:szCs w:val="20"/>
                <w:lang w:eastAsia="zh-CN"/>
              </w:rPr>
              <w:t>指数</w:t>
            </w:r>
          </w:p>
        </w:tc>
        <w:tc>
          <w:tcPr>
            <w:tcW w:w="919" w:type="dxa"/>
            <w:vMerge w:val="restart"/>
            <w:shd w:val="clear" w:color="auto" w:fill="auto"/>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lang w:eastAsia="zh-CN"/>
              </w:rPr>
              <w:t>二</w:t>
            </w:r>
            <w:r>
              <w:rPr>
                <w:rFonts w:hint="eastAsia" w:ascii="仿宋_GB2312" w:hAnsi="仿宋_GB2312" w:eastAsia="仿宋_GB2312" w:cs="仿宋_GB2312"/>
                <w:b/>
                <w:color w:val="000000"/>
                <w:sz w:val="20"/>
                <w:szCs w:val="20"/>
              </w:rPr>
              <w:t>级</w:t>
            </w:r>
          </w:p>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rPr>
              <w:t>指</w:t>
            </w:r>
            <w:r>
              <w:rPr>
                <w:rFonts w:hint="eastAsia" w:ascii="仿宋_GB2312" w:hAnsi="仿宋_GB2312" w:eastAsia="仿宋_GB2312" w:cs="仿宋_GB2312"/>
                <w:b/>
                <w:color w:val="000000"/>
                <w:sz w:val="20"/>
                <w:szCs w:val="20"/>
                <w:lang w:eastAsia="zh-CN"/>
              </w:rPr>
              <w:t>标</w:t>
            </w:r>
          </w:p>
        </w:tc>
        <w:tc>
          <w:tcPr>
            <w:tcW w:w="920" w:type="dxa"/>
            <w:vMerge w:val="restart"/>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lang w:eastAsia="zh-CN"/>
              </w:rPr>
              <w:t>三</w:t>
            </w:r>
            <w:r>
              <w:rPr>
                <w:rFonts w:hint="eastAsia" w:ascii="仿宋_GB2312" w:hAnsi="仿宋_GB2312" w:eastAsia="仿宋_GB2312" w:cs="仿宋_GB2312"/>
                <w:b/>
                <w:color w:val="000000"/>
                <w:sz w:val="20"/>
                <w:szCs w:val="20"/>
              </w:rPr>
              <w:t>级</w:t>
            </w:r>
          </w:p>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rPr>
              <w:t>指标</w:t>
            </w:r>
          </w:p>
        </w:tc>
        <w:tc>
          <w:tcPr>
            <w:tcW w:w="1718" w:type="dxa"/>
            <w:vMerge w:val="restart"/>
            <w:shd w:val="clear" w:color="auto" w:fill="auto"/>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lang w:eastAsia="zh-CN"/>
              </w:rPr>
              <w:t>四级</w:t>
            </w:r>
            <w:r>
              <w:rPr>
                <w:rFonts w:hint="eastAsia" w:ascii="仿宋_GB2312" w:hAnsi="仿宋_GB2312" w:eastAsia="仿宋_GB2312" w:cs="仿宋_GB2312"/>
                <w:b/>
                <w:color w:val="000000"/>
                <w:sz w:val="20"/>
                <w:szCs w:val="20"/>
              </w:rPr>
              <w:t>指标（权重）</w:t>
            </w:r>
          </w:p>
        </w:tc>
        <w:tc>
          <w:tcPr>
            <w:tcW w:w="10771" w:type="dxa"/>
            <w:gridSpan w:val="28"/>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rPr>
              <w:t>相关指标转化后的质量指数值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b/>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b/>
                <w:color w:val="000000"/>
                <w:sz w:val="20"/>
                <w:szCs w:val="20"/>
              </w:rPr>
            </w:pPr>
          </w:p>
        </w:tc>
        <w:tc>
          <w:tcPr>
            <w:tcW w:w="920" w:type="dxa"/>
            <w:vMerge w:val="continue"/>
            <w:vAlign w:val="center"/>
          </w:tcPr>
          <w:p>
            <w:pPr>
              <w:spacing w:line="180" w:lineRule="auto"/>
              <w:jc w:val="center"/>
              <w:rPr>
                <w:rFonts w:hint="eastAsia" w:ascii="仿宋_GB2312" w:hAnsi="仿宋_GB2312" w:eastAsia="仿宋_GB2312" w:cs="仿宋_GB2312"/>
                <w:b/>
                <w:color w:val="000000"/>
                <w:sz w:val="20"/>
                <w:szCs w:val="20"/>
              </w:rPr>
            </w:pPr>
          </w:p>
        </w:tc>
        <w:tc>
          <w:tcPr>
            <w:tcW w:w="1718" w:type="dxa"/>
            <w:vMerge w:val="continue"/>
            <w:shd w:val="clear" w:color="auto" w:fill="auto"/>
            <w:vAlign w:val="center"/>
          </w:tcPr>
          <w:p>
            <w:pPr>
              <w:spacing w:line="180" w:lineRule="auto"/>
              <w:jc w:val="center"/>
              <w:rPr>
                <w:rFonts w:hint="eastAsia" w:ascii="仿宋_GB2312" w:hAnsi="仿宋_GB2312" w:eastAsia="仿宋_GB2312" w:cs="仿宋_GB2312"/>
                <w:b/>
                <w:color w:val="000000"/>
                <w:sz w:val="20"/>
                <w:szCs w:val="20"/>
              </w:rPr>
            </w:pPr>
          </w:p>
        </w:tc>
        <w:tc>
          <w:tcPr>
            <w:tcW w:w="769" w:type="dxa"/>
            <w:gridSpan w:val="2"/>
            <w:shd w:val="clear" w:color="auto" w:fill="auto"/>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rPr>
              <w:t>2010年</w:t>
            </w:r>
          </w:p>
        </w:tc>
        <w:tc>
          <w:tcPr>
            <w:tcW w:w="769" w:type="dxa"/>
            <w:gridSpan w:val="2"/>
            <w:shd w:val="clear" w:color="auto" w:fill="auto"/>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rPr>
              <w:t>2011年</w:t>
            </w:r>
          </w:p>
        </w:tc>
        <w:tc>
          <w:tcPr>
            <w:tcW w:w="769" w:type="dxa"/>
            <w:gridSpan w:val="2"/>
            <w:shd w:val="clear" w:color="auto" w:fill="auto"/>
            <w:vAlign w:val="center"/>
          </w:tcPr>
          <w:p>
            <w:pPr>
              <w:spacing w:line="180" w:lineRule="auto"/>
              <w:jc w:val="center"/>
              <w:rPr>
                <w:rFonts w:hint="eastAsia" w:ascii="仿宋_GB2312" w:hAnsi="仿宋_GB2312" w:eastAsia="仿宋_GB2312" w:cs="仿宋_GB2312"/>
                <w:b/>
                <w:color w:val="000000"/>
                <w:sz w:val="20"/>
                <w:szCs w:val="20"/>
                <w:lang w:val="en-US" w:eastAsia="zh-CN"/>
              </w:rPr>
            </w:pPr>
            <w:r>
              <w:rPr>
                <w:rFonts w:hint="eastAsia" w:ascii="仿宋_GB2312" w:hAnsi="仿宋_GB2312" w:eastAsia="仿宋_GB2312" w:cs="仿宋_GB2312"/>
                <w:b/>
                <w:color w:val="000000"/>
                <w:sz w:val="20"/>
                <w:szCs w:val="20"/>
              </w:rPr>
              <w:t>2012年</w:t>
            </w:r>
          </w:p>
        </w:tc>
        <w:tc>
          <w:tcPr>
            <w:tcW w:w="769" w:type="dxa"/>
            <w:gridSpan w:val="2"/>
            <w:shd w:val="clear" w:color="auto" w:fill="auto"/>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rPr>
              <w:t>2013年</w:t>
            </w:r>
          </w:p>
        </w:tc>
        <w:tc>
          <w:tcPr>
            <w:tcW w:w="769" w:type="dxa"/>
            <w:gridSpan w:val="2"/>
            <w:shd w:val="clear" w:color="auto" w:fill="auto"/>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rPr>
              <w:t>2014年</w:t>
            </w:r>
          </w:p>
        </w:tc>
        <w:tc>
          <w:tcPr>
            <w:tcW w:w="769" w:type="dxa"/>
            <w:gridSpan w:val="2"/>
            <w:shd w:val="clear" w:color="auto" w:fill="auto"/>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rPr>
              <w:t>2015年</w:t>
            </w:r>
          </w:p>
        </w:tc>
        <w:tc>
          <w:tcPr>
            <w:tcW w:w="769" w:type="dxa"/>
            <w:gridSpan w:val="2"/>
            <w:shd w:val="clear" w:color="auto" w:fill="auto"/>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rPr>
              <w:t>2016年</w:t>
            </w:r>
          </w:p>
        </w:tc>
        <w:tc>
          <w:tcPr>
            <w:tcW w:w="769" w:type="dxa"/>
            <w:gridSpan w:val="2"/>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rPr>
              <w:t>2017年</w:t>
            </w:r>
          </w:p>
        </w:tc>
        <w:tc>
          <w:tcPr>
            <w:tcW w:w="769" w:type="dxa"/>
            <w:gridSpan w:val="2"/>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rPr>
              <w:t>2018年</w:t>
            </w:r>
          </w:p>
        </w:tc>
        <w:tc>
          <w:tcPr>
            <w:tcW w:w="769" w:type="dxa"/>
            <w:gridSpan w:val="2"/>
            <w:vAlign w:val="center"/>
          </w:tcPr>
          <w:p>
            <w:pPr>
              <w:spacing w:line="180" w:lineRule="auto"/>
              <w:jc w:val="center"/>
              <w:rPr>
                <w:rFonts w:hint="eastAsia" w:ascii="仿宋_GB2312" w:hAnsi="仿宋_GB2312" w:eastAsia="仿宋_GB2312" w:cs="仿宋_GB2312"/>
                <w:b/>
                <w:color w:val="000000"/>
                <w:sz w:val="20"/>
                <w:szCs w:val="20"/>
              </w:rPr>
            </w:pPr>
            <w:r>
              <w:rPr>
                <w:rFonts w:hint="eastAsia" w:ascii="仿宋_GB2312" w:hAnsi="仿宋_GB2312" w:eastAsia="仿宋_GB2312" w:cs="仿宋_GB2312"/>
                <w:b/>
                <w:color w:val="000000"/>
                <w:sz w:val="20"/>
                <w:szCs w:val="20"/>
                <w:lang w:val="en-US" w:eastAsia="zh-CN"/>
              </w:rPr>
              <w:t>2019年</w:t>
            </w:r>
          </w:p>
        </w:tc>
        <w:tc>
          <w:tcPr>
            <w:tcW w:w="769" w:type="dxa"/>
            <w:gridSpan w:val="2"/>
            <w:vAlign w:val="center"/>
          </w:tcPr>
          <w:p>
            <w:pPr>
              <w:spacing w:line="180" w:lineRule="auto"/>
              <w:jc w:val="center"/>
              <w:rPr>
                <w:rFonts w:hint="eastAsia" w:ascii="仿宋_GB2312" w:hAnsi="仿宋_GB2312" w:eastAsia="仿宋_GB2312" w:cs="仿宋_GB2312"/>
                <w:b/>
                <w:color w:val="000000"/>
                <w:sz w:val="20"/>
                <w:szCs w:val="20"/>
                <w:lang w:val="en-US" w:eastAsia="zh-CN"/>
              </w:rPr>
            </w:pPr>
            <w:r>
              <w:rPr>
                <w:rFonts w:hint="eastAsia" w:ascii="仿宋_GB2312" w:hAnsi="仿宋_GB2312" w:eastAsia="仿宋_GB2312" w:cs="仿宋_GB2312"/>
                <w:b/>
                <w:color w:val="000000"/>
                <w:sz w:val="20"/>
                <w:szCs w:val="20"/>
                <w:lang w:val="en-US" w:eastAsia="zh-CN"/>
              </w:rPr>
              <w:t>2020年</w:t>
            </w:r>
          </w:p>
        </w:tc>
        <w:tc>
          <w:tcPr>
            <w:tcW w:w="769" w:type="dxa"/>
            <w:gridSpan w:val="2"/>
            <w:vAlign w:val="center"/>
          </w:tcPr>
          <w:p>
            <w:pPr>
              <w:spacing w:line="180" w:lineRule="auto"/>
              <w:jc w:val="center"/>
              <w:rPr>
                <w:rFonts w:hint="default" w:ascii="仿宋_GB2312" w:hAnsi="仿宋_GB2312" w:eastAsia="仿宋_GB2312" w:cs="仿宋_GB2312"/>
                <w:b/>
                <w:color w:val="000000"/>
                <w:sz w:val="20"/>
                <w:szCs w:val="20"/>
                <w:lang w:val="en-US" w:eastAsia="zh-CN"/>
              </w:rPr>
            </w:pPr>
            <w:r>
              <w:rPr>
                <w:rFonts w:hint="eastAsia" w:ascii="仿宋_GB2312" w:hAnsi="仿宋_GB2312" w:eastAsia="仿宋_GB2312" w:cs="仿宋_GB2312"/>
                <w:b/>
                <w:color w:val="000000"/>
                <w:sz w:val="20"/>
                <w:szCs w:val="20"/>
                <w:lang w:val="en-US" w:eastAsia="zh-CN"/>
              </w:rPr>
              <w:t>2021年</w:t>
            </w:r>
          </w:p>
        </w:tc>
        <w:tc>
          <w:tcPr>
            <w:tcW w:w="769" w:type="dxa"/>
            <w:gridSpan w:val="2"/>
            <w:vAlign w:val="center"/>
          </w:tcPr>
          <w:p>
            <w:pPr>
              <w:spacing w:line="180" w:lineRule="auto"/>
              <w:jc w:val="center"/>
              <w:rPr>
                <w:rFonts w:hint="default" w:ascii="仿宋_GB2312" w:hAnsi="仿宋_GB2312" w:eastAsia="仿宋_GB2312" w:cs="仿宋_GB2312"/>
                <w:b/>
                <w:color w:val="000000"/>
                <w:sz w:val="20"/>
                <w:szCs w:val="20"/>
                <w:lang w:val="en-US" w:eastAsia="zh-CN"/>
              </w:rPr>
            </w:pPr>
            <w:r>
              <w:rPr>
                <w:rFonts w:hint="eastAsia" w:ascii="仿宋_GB2312" w:hAnsi="仿宋_GB2312" w:eastAsia="仿宋_GB2312" w:cs="仿宋_GB2312"/>
                <w:b/>
                <w:color w:val="000000"/>
                <w:sz w:val="20"/>
                <w:szCs w:val="20"/>
                <w:lang w:val="en-US" w:eastAsia="zh-CN"/>
              </w:rPr>
              <w:t>最小值</w:t>
            </w:r>
          </w:p>
        </w:tc>
        <w:tc>
          <w:tcPr>
            <w:tcW w:w="774" w:type="dxa"/>
            <w:gridSpan w:val="2"/>
            <w:vAlign w:val="center"/>
          </w:tcPr>
          <w:p>
            <w:pPr>
              <w:spacing w:line="180" w:lineRule="auto"/>
              <w:jc w:val="center"/>
              <w:rPr>
                <w:rFonts w:hint="default" w:ascii="仿宋_GB2312" w:hAnsi="仿宋_GB2312" w:eastAsia="仿宋_GB2312" w:cs="仿宋_GB2312"/>
                <w:b/>
                <w:color w:val="000000"/>
                <w:sz w:val="20"/>
                <w:szCs w:val="20"/>
                <w:lang w:val="en-US" w:eastAsia="zh-CN"/>
              </w:rPr>
            </w:pPr>
            <w:r>
              <w:rPr>
                <w:rFonts w:hint="eastAsia" w:ascii="仿宋_GB2312" w:hAnsi="仿宋_GB2312" w:eastAsia="仿宋_GB2312" w:cs="仿宋_GB2312"/>
                <w:b/>
                <w:color w:val="000000"/>
                <w:sz w:val="20"/>
                <w:szCs w:val="20"/>
                <w:lang w:val="en-US" w:eastAsia="zh-CN"/>
              </w:rPr>
              <w:t>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99" w:type="dxa"/>
            <w:vMerge w:val="restart"/>
            <w:shd w:val="clear" w:color="auto" w:fill="auto"/>
            <w:vAlign w:val="center"/>
          </w:tcPr>
          <w:p>
            <w:pPr>
              <w:spacing w:line="180" w:lineRule="auto"/>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现代物流</w:t>
            </w:r>
            <w:r>
              <w:rPr>
                <w:rFonts w:hint="eastAsia" w:ascii="仿宋_GB2312" w:hAnsi="仿宋_GB2312" w:eastAsia="仿宋_GB2312" w:cs="仿宋_GB2312"/>
                <w:color w:val="000000"/>
                <w:sz w:val="20"/>
                <w:szCs w:val="20"/>
                <w:lang w:eastAsia="zh-CN"/>
              </w:rPr>
              <w:t>质量指数</w:t>
            </w:r>
          </w:p>
        </w:tc>
        <w:tc>
          <w:tcPr>
            <w:tcW w:w="919" w:type="dxa"/>
            <w:vMerge w:val="restart"/>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质量</w:t>
            </w:r>
          </w:p>
          <w:p>
            <w:pPr>
              <w:spacing w:line="180" w:lineRule="auto"/>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水平</w:t>
            </w:r>
          </w:p>
          <w:p>
            <w:pPr>
              <w:spacing w:line="180" w:lineRule="auto"/>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（40%）</w:t>
            </w:r>
          </w:p>
        </w:tc>
        <w:tc>
          <w:tcPr>
            <w:tcW w:w="920" w:type="dxa"/>
            <w:vMerge w:val="restart"/>
            <w:vAlign w:val="center"/>
          </w:tcPr>
          <w:p>
            <w:pPr>
              <w:spacing w:line="180" w:lineRule="auto"/>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国际化水平</w:t>
            </w:r>
          </w:p>
          <w:p>
            <w:pPr>
              <w:spacing w:line="180" w:lineRule="auto"/>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w:t>
            </w: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国际港口物流航线条数（4%）</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68.06</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61.73</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65.47</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66.91</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72.37</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67.19</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64.32</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63.45</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68.63</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83.02</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74"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continue"/>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国际航空货运量占比（5%）</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63.83</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62.75</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62.99</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63.52</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65.92</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69.02</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71.00</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77.46</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69.19</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81.26</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83.44</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60.00</w:t>
            </w:r>
          </w:p>
        </w:tc>
        <w:tc>
          <w:tcPr>
            <w:tcW w:w="774"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continue"/>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国际航空货运通航城市数（4%）</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64.00</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62.67</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62.67</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64.00</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64.00</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64.00</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65.33</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65.33</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70.67</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80.00</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86.67</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74"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restart"/>
            <w:vAlign w:val="center"/>
          </w:tcPr>
          <w:p>
            <w:pPr>
              <w:spacing w:line="180" w:lineRule="auto"/>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绿色化水平</w:t>
            </w:r>
          </w:p>
          <w:p>
            <w:pPr>
              <w:spacing w:line="180" w:lineRule="auto"/>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11%）</w:t>
            </w: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新能源货运汽车使用率（7%）</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60.14</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61.75</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67.79</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85.07</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83.48</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85.92</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74"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continue"/>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码头岸电建设数</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61.58</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61.58</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61.58</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61.58</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61.58</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66.32</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71.58</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74.74</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80.00</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80.00</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80.00</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74"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restart"/>
            <w:vAlign w:val="center"/>
          </w:tcPr>
          <w:p>
            <w:pPr>
              <w:spacing w:line="180" w:lineRule="auto"/>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服务安全水平</w:t>
            </w:r>
          </w:p>
          <w:p>
            <w:pPr>
              <w:spacing w:line="180" w:lineRule="auto"/>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16%）</w:t>
            </w: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道路货运事故率</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62.41</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61.09</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65.00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96.86</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95.46</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92.85</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92.52</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83.53</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94.73</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92.45</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88.77</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60.00</w:t>
            </w:r>
          </w:p>
        </w:tc>
        <w:tc>
          <w:tcPr>
            <w:tcW w:w="774"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continue"/>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道路货运事故亡人率（8%）</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71.98</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77.00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74.75</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92.00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84.80</w:t>
            </w:r>
          </w:p>
        </w:tc>
        <w:tc>
          <w:tcPr>
            <w:tcW w:w="769"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89.04</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73.17</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70.26</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82.73</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84.45</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62.08</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60.00</w:t>
            </w:r>
          </w:p>
        </w:tc>
        <w:tc>
          <w:tcPr>
            <w:tcW w:w="774"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eastAsia="zh-CN"/>
              </w:rPr>
            </w:pPr>
          </w:p>
        </w:tc>
        <w:tc>
          <w:tcPr>
            <w:tcW w:w="919" w:type="dxa"/>
            <w:vMerge w:val="restart"/>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发展</w:t>
            </w:r>
          </w:p>
          <w:p>
            <w:pPr>
              <w:spacing w:line="180" w:lineRule="auto"/>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能力</w:t>
            </w:r>
          </w:p>
          <w:p>
            <w:pPr>
              <w:spacing w:line="180" w:lineRule="auto"/>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（40%）</w:t>
            </w:r>
          </w:p>
        </w:tc>
        <w:tc>
          <w:tcPr>
            <w:tcW w:w="920" w:type="dxa"/>
            <w:vMerge w:val="restart"/>
            <w:vAlign w:val="center"/>
          </w:tcPr>
          <w:p>
            <w:pPr>
              <w:spacing w:line="180" w:lineRule="auto"/>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结构优化能力</w:t>
            </w:r>
          </w:p>
          <w:p>
            <w:pPr>
              <w:spacing w:line="180" w:lineRule="auto"/>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（24%）</w:t>
            </w: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水水中转货运量比重（4%）</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68.18</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70.68</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73.73</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72.95</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88.77</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88.16</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88.45</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84.23</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60.00</w:t>
            </w:r>
          </w:p>
        </w:tc>
        <w:tc>
          <w:tcPr>
            <w:tcW w:w="774"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continue"/>
            <w:vAlign w:val="center"/>
          </w:tcPr>
          <w:p>
            <w:pPr>
              <w:spacing w:line="180" w:lineRule="auto"/>
              <w:jc w:val="center"/>
              <w:rPr>
                <w:rFonts w:hint="eastAsia" w:ascii="仿宋_GB2312" w:hAnsi="仿宋_GB2312" w:eastAsia="仿宋_GB2312" w:cs="仿宋_GB2312"/>
                <w:color w:val="000000"/>
                <w:sz w:val="20"/>
                <w:szCs w:val="20"/>
              </w:rPr>
            </w:pP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海铁联运比例</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65.61</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67.02</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71.93</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74.74</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78.25</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78.95</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72.63</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64.91</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73.27</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77.67</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85.32</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60.00</w:t>
            </w:r>
          </w:p>
        </w:tc>
        <w:tc>
          <w:tcPr>
            <w:tcW w:w="774"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continue"/>
            <w:vAlign w:val="center"/>
          </w:tcPr>
          <w:p>
            <w:pPr>
              <w:spacing w:line="180" w:lineRule="auto"/>
              <w:jc w:val="center"/>
              <w:rPr>
                <w:rFonts w:hint="eastAsia" w:ascii="仿宋_GB2312" w:hAnsi="仿宋_GB2312" w:eastAsia="仿宋_GB2312" w:cs="仿宋_GB2312"/>
                <w:color w:val="000000"/>
                <w:sz w:val="20"/>
                <w:szCs w:val="20"/>
              </w:rPr>
            </w:pP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集装箱重箱率</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（5%）</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66.66</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66.77</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71.13</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71.45</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68.75</w:t>
            </w:r>
          </w:p>
        </w:tc>
        <w:tc>
          <w:tcPr>
            <w:tcW w:w="769"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70.12</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68.17</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68.28</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80.31</w:t>
            </w:r>
          </w:p>
        </w:tc>
        <w:tc>
          <w:tcPr>
            <w:tcW w:w="769"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highlight w:val="none"/>
                <w:u w:val="none"/>
                <w:lang w:val="en-US" w:eastAsia="zh-CN" w:bidi="ar"/>
              </w:rPr>
              <w:t>67.83</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66.73</w:t>
            </w:r>
          </w:p>
        </w:tc>
        <w:tc>
          <w:tcPr>
            <w:tcW w:w="76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60.00</w:t>
            </w:r>
          </w:p>
        </w:tc>
        <w:tc>
          <w:tcPr>
            <w:tcW w:w="774"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restart"/>
            <w:vAlign w:val="center"/>
          </w:tcPr>
          <w:p>
            <w:pPr>
              <w:spacing w:line="180" w:lineRule="auto"/>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科技发展能力</w:t>
            </w:r>
          </w:p>
          <w:p>
            <w:pPr>
              <w:spacing w:line="180" w:lineRule="auto"/>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（11%）</w:t>
            </w: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智能快件箱人均拥有量（4%）</w:t>
            </w:r>
          </w:p>
        </w:tc>
        <w:tc>
          <w:tcPr>
            <w:tcW w:w="768"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72.72</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87.77</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92.69</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94.32</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86.96</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89.47</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94.32</w:t>
            </w:r>
          </w:p>
        </w:tc>
        <w:tc>
          <w:tcPr>
            <w:tcW w:w="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continue"/>
            <w:vAlign w:val="center"/>
          </w:tcPr>
          <w:p>
            <w:pPr>
              <w:spacing w:line="180" w:lineRule="auto"/>
              <w:jc w:val="center"/>
              <w:rPr>
                <w:rFonts w:hint="eastAsia" w:ascii="仿宋_GB2312" w:hAnsi="仿宋_GB2312" w:eastAsia="仿宋_GB2312" w:cs="仿宋_GB2312"/>
                <w:color w:val="000000"/>
                <w:sz w:val="20"/>
                <w:szCs w:val="20"/>
              </w:rPr>
            </w:pP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重点物流企业科技研发投入比重（7%）</w:t>
            </w:r>
          </w:p>
        </w:tc>
        <w:tc>
          <w:tcPr>
            <w:tcW w:w="768"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60.93</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62.48</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63.10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64.65</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65.27</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67.13</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68.99</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68.99</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72.09</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81.09</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88.22</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88.22</w:t>
            </w:r>
          </w:p>
        </w:tc>
        <w:tc>
          <w:tcPr>
            <w:tcW w:w="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restart"/>
            <w:vAlign w:val="center"/>
          </w:tcPr>
          <w:p>
            <w:pPr>
              <w:spacing w:line="180" w:lineRule="auto"/>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规模优化能力</w:t>
            </w:r>
          </w:p>
          <w:p>
            <w:pPr>
              <w:spacing w:line="180" w:lineRule="auto"/>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16%）</w:t>
            </w: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物流业增加值占GDP比重（8%）</w:t>
            </w:r>
          </w:p>
        </w:tc>
        <w:tc>
          <w:tcPr>
            <w:tcW w:w="768"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60.63</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64.44</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67.30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71.11</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74.29</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73.97</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73.02</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83.81</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73.65</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68.25</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70.16</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83.81</w:t>
            </w:r>
          </w:p>
        </w:tc>
        <w:tc>
          <w:tcPr>
            <w:tcW w:w="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lang w:val="en-US" w:eastAsia="zh-CN"/>
              </w:rPr>
            </w:pPr>
          </w:p>
        </w:tc>
        <w:tc>
          <w:tcPr>
            <w:tcW w:w="920" w:type="dxa"/>
            <w:vMerge w:val="continue"/>
            <w:vAlign w:val="center"/>
          </w:tcPr>
          <w:p>
            <w:pPr>
              <w:spacing w:line="180" w:lineRule="auto"/>
              <w:jc w:val="center"/>
              <w:rPr>
                <w:rFonts w:hint="eastAsia" w:ascii="仿宋_GB2312" w:hAnsi="仿宋_GB2312" w:eastAsia="仿宋_GB2312" w:cs="仿宋_GB2312"/>
                <w:color w:val="000000"/>
                <w:sz w:val="20"/>
                <w:szCs w:val="20"/>
              </w:rPr>
            </w:pPr>
          </w:p>
        </w:tc>
        <w:tc>
          <w:tcPr>
            <w:tcW w:w="171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社会物流总费用占GDP比重（8%）</w:t>
            </w:r>
          </w:p>
        </w:tc>
        <w:tc>
          <w:tcPr>
            <w:tcW w:w="768"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60.00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63.90</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64.06</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64.86</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67.73</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73.71</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75.78</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78.88</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80.08</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87.25</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89.64</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85.42</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60.00</w:t>
            </w:r>
          </w:p>
        </w:tc>
        <w:tc>
          <w:tcPr>
            <w:tcW w:w="7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89.64</w:t>
            </w:r>
          </w:p>
        </w:tc>
        <w:tc>
          <w:tcPr>
            <w:tcW w:w="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4" w:hRule="atLeast"/>
          <w:jc w:val="center"/>
        </w:trPr>
        <w:tc>
          <w:tcPr>
            <w:tcW w:w="499" w:type="dxa"/>
            <w:vMerge w:val="continue"/>
            <w:shd w:val="clear" w:color="auto" w:fill="auto"/>
            <w:vAlign w:val="center"/>
          </w:tcPr>
          <w:p>
            <w:pPr>
              <w:spacing w:line="180" w:lineRule="auto"/>
              <w:jc w:val="center"/>
              <w:rPr>
                <w:rFonts w:hint="eastAsia" w:ascii="仿宋_GB2312" w:hAnsi="仿宋_GB2312" w:eastAsia="仿宋_GB2312" w:cs="仿宋_GB2312"/>
                <w:color w:val="000000"/>
                <w:sz w:val="20"/>
                <w:szCs w:val="20"/>
              </w:rPr>
            </w:pPr>
          </w:p>
        </w:tc>
        <w:tc>
          <w:tcPr>
            <w:tcW w:w="919" w:type="dxa"/>
            <w:shd w:val="clear" w:color="auto" w:fill="auto"/>
            <w:vAlign w:val="center"/>
          </w:tcPr>
          <w:p>
            <w:pPr>
              <w:spacing w:line="180" w:lineRule="auto"/>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质量</w:t>
            </w:r>
          </w:p>
          <w:p>
            <w:pPr>
              <w:spacing w:line="180" w:lineRule="auto"/>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获得感（</w:t>
            </w:r>
            <w:r>
              <w:rPr>
                <w:rFonts w:hint="eastAsia" w:ascii="仿宋_GB2312" w:hAnsi="仿宋_GB2312" w:eastAsia="仿宋_GB2312" w:cs="仿宋_GB2312"/>
                <w:color w:val="000000"/>
                <w:sz w:val="20"/>
                <w:szCs w:val="20"/>
                <w:lang w:val="en-US" w:eastAsia="zh-CN"/>
              </w:rPr>
              <w:t>20%）</w:t>
            </w:r>
          </w:p>
        </w:tc>
        <w:tc>
          <w:tcPr>
            <w:tcW w:w="920" w:type="dxa"/>
            <w:vAlign w:val="center"/>
          </w:tcPr>
          <w:p>
            <w:pPr>
              <w:spacing w:line="180" w:lineRule="auto"/>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顾客</w:t>
            </w:r>
          </w:p>
          <w:p>
            <w:pPr>
              <w:spacing w:line="180" w:lineRule="auto"/>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满意度（</w:t>
            </w:r>
            <w:r>
              <w:rPr>
                <w:rFonts w:hint="eastAsia" w:ascii="仿宋_GB2312" w:hAnsi="仿宋_GB2312" w:eastAsia="仿宋_GB2312" w:cs="仿宋_GB2312"/>
                <w:color w:val="000000"/>
                <w:sz w:val="20"/>
                <w:szCs w:val="20"/>
                <w:lang w:val="en-US" w:eastAsia="zh-CN"/>
              </w:rPr>
              <w:t>20%）</w:t>
            </w:r>
          </w:p>
        </w:tc>
        <w:tc>
          <w:tcPr>
            <w:tcW w:w="1718" w:type="dxa"/>
            <w:shd w:val="clear" w:color="auto" w:fill="auto"/>
            <w:vAlign w:val="center"/>
          </w:tcPr>
          <w:p>
            <w:pPr>
              <w:spacing w:line="180" w:lineRule="auto"/>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顾客满意度</w:t>
            </w:r>
          </w:p>
          <w:p>
            <w:pPr>
              <w:spacing w:line="180" w:lineRule="auto"/>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20%）</w:t>
            </w:r>
          </w:p>
        </w:tc>
        <w:tc>
          <w:tcPr>
            <w:tcW w:w="768" w:type="dxa"/>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86.35</w:t>
            </w:r>
          </w:p>
        </w:tc>
        <w:tc>
          <w:tcPr>
            <w:tcW w:w="768"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86.35</w:t>
            </w:r>
          </w:p>
        </w:tc>
        <w:tc>
          <w:tcPr>
            <w:tcW w:w="768"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86.35</w:t>
            </w:r>
          </w:p>
        </w:tc>
        <w:tc>
          <w:tcPr>
            <w:tcW w:w="768"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86.35</w:t>
            </w:r>
          </w:p>
        </w:tc>
        <w:tc>
          <w:tcPr>
            <w:tcW w:w="768"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86.35</w:t>
            </w:r>
          </w:p>
        </w:tc>
        <w:tc>
          <w:tcPr>
            <w:tcW w:w="768"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86.35</w:t>
            </w:r>
          </w:p>
        </w:tc>
        <w:tc>
          <w:tcPr>
            <w:tcW w:w="768"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86.35</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86.35</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86.35</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86.35</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84</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88.67</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84</w:t>
            </w:r>
          </w:p>
        </w:tc>
        <w:tc>
          <w:tcPr>
            <w:tcW w:w="780"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73" w:hRule="atLeast"/>
          <w:jc w:val="center"/>
        </w:trPr>
        <w:tc>
          <w:tcPr>
            <w:tcW w:w="4056" w:type="dxa"/>
            <w:gridSpan w:val="4"/>
            <w:shd w:val="clear" w:color="auto" w:fill="auto"/>
            <w:vAlign w:val="center"/>
          </w:tcPr>
          <w:p>
            <w:pPr>
              <w:spacing w:line="180" w:lineRule="auto"/>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深圳现代物流质量指数</w:t>
            </w:r>
          </w:p>
        </w:tc>
        <w:tc>
          <w:tcPr>
            <w:tcW w:w="76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65.72</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68.26</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68.48</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69.72</w:t>
            </w:r>
          </w:p>
        </w:tc>
        <w:tc>
          <w:tcPr>
            <w:tcW w:w="768"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74.92</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75.35</w:t>
            </w:r>
          </w:p>
        </w:tc>
        <w:tc>
          <w:tcPr>
            <w:tcW w:w="768" w:type="dxa"/>
            <w:gridSpan w:val="2"/>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76.32</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75.86</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77.35</w:t>
            </w:r>
          </w:p>
        </w:tc>
        <w:tc>
          <w:tcPr>
            <w:tcW w:w="768"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81.47</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81.83</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82.29</w:t>
            </w:r>
          </w:p>
        </w:tc>
        <w:tc>
          <w:tcPr>
            <w:tcW w:w="768"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65.72</w:t>
            </w:r>
          </w:p>
        </w:tc>
        <w:tc>
          <w:tcPr>
            <w:tcW w:w="780" w:type="dxa"/>
            <w:gridSpan w:val="2"/>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82.29</w:t>
            </w:r>
          </w:p>
        </w:tc>
      </w:tr>
    </w:tbl>
    <w:p>
      <w:pPr>
        <w:spacing w:line="360" w:lineRule="auto"/>
        <w:jc w:val="center"/>
        <w:rPr>
          <w:rFonts w:hint="eastAsia" w:ascii="仿宋_GB2312" w:hAnsi="仿宋" w:eastAsia="仿宋_GB2312"/>
          <w:sz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CESI黑体-GB2312">
    <w:panose1 w:val="02000500000000000000"/>
    <w:charset w:val="86"/>
    <w:family w:val="auto"/>
    <w:pitch w:val="default"/>
    <w:sig w:usb0="800002BF" w:usb1="184F6CF8" w:usb2="00000012" w:usb3="00000000" w:csb0="0004000F"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3127287"/>
    </w:sdtPr>
    <w:sdtContent>
      <w:p>
        <w:pPr>
          <w:pStyle w:val="5"/>
          <w:jc w:val="center"/>
        </w:pPr>
        <w:r>
          <w:rPr>
            <w:lang w:val="zh-CN"/>
          </w:rPr>
          <w:fldChar w:fldCharType="begin"/>
        </w:r>
        <w:r>
          <w:rPr>
            <w:lang w:val="zh-CN"/>
          </w:rPr>
          <w:instrText xml:space="preserve">PAGE   \* MERGEFORMAT</w:instrText>
        </w:r>
        <w:r>
          <w:rPr>
            <w:lang w:val="zh-CN"/>
          </w:rPr>
          <w:fldChar w:fldCharType="separate"/>
        </w:r>
        <w:r>
          <w:rPr>
            <w:lang w:val="zh-CN"/>
          </w:rPr>
          <w:t>37</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zUyOWJhNThkMTk1MWJkNjc0NWRmMzlkN2ZiMmMifQ=="/>
  </w:docVars>
  <w:rsids>
    <w:rsidRoot w:val="16BB5A4C"/>
    <w:rsid w:val="0E3432BD"/>
    <w:rsid w:val="161E7A96"/>
    <w:rsid w:val="16BB5A4C"/>
    <w:rsid w:val="2FD933EE"/>
    <w:rsid w:val="64D7198B"/>
    <w:rsid w:val="6E340B6E"/>
    <w:rsid w:val="7FDFA4F4"/>
    <w:rsid w:val="CFEE02DA"/>
    <w:rsid w:val="F8EF6544"/>
    <w:rsid w:val="FB9FB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9"/>
    <w:pPr>
      <w:keepNext/>
      <w:keepLines/>
      <w:widowControl w:val="0"/>
      <w:spacing w:before="340" w:after="330" w:line="578" w:lineRule="auto"/>
      <w:jc w:val="both"/>
      <w:outlineLvl w:val="0"/>
    </w:pPr>
    <w:rPr>
      <w:rFonts w:asciiTheme="minorHAnsi" w:hAnsiTheme="minorHAnsi" w:cstheme="minorBidi"/>
      <w:b/>
      <w:bCs/>
      <w:kern w:val="44"/>
      <w:sz w:val="44"/>
      <w:szCs w:val="44"/>
    </w:rPr>
  </w:style>
  <w:style w:type="paragraph" w:styleId="3">
    <w:name w:val="heading 2"/>
    <w:basedOn w:val="1"/>
    <w:next w:val="1"/>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rPr>
  </w:style>
  <w:style w:type="paragraph" w:styleId="4">
    <w:name w:val="heading 3"/>
    <w:basedOn w:val="1"/>
    <w:next w:val="1"/>
    <w:unhideWhenUsed/>
    <w:qFormat/>
    <w:uiPriority w:val="9"/>
    <w:pPr>
      <w:keepNext/>
      <w:keepLines/>
      <w:spacing w:before="50" w:beforeLines="50" w:line="360" w:lineRule="auto"/>
      <w:ind w:firstLine="480" w:firstLineChars="200"/>
      <w:outlineLvl w:val="2"/>
    </w:pPr>
    <w:rPr>
      <w:rFonts w:ascii="Times New Roman" w:hAnsi="Times New Roman" w:eastAsia="仿宋_GB2312"/>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0" w:leftChars="0" w:firstLine="280" w:firstLineChars="100"/>
    </w:pPr>
    <w:rPr>
      <w:rFonts w:ascii="Times New Roman" w:hAnsi="Times New Roman" w:eastAsia="仿宋" w:cs="Times New Roman"/>
      <w:sz w:val="28"/>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2665</Words>
  <Characters>3738</Characters>
  <Lines>0</Lines>
  <Paragraphs>0</Paragraphs>
  <TotalTime>5</TotalTime>
  <ScaleCrop>false</ScaleCrop>
  <LinksUpToDate>false</LinksUpToDate>
  <CharactersWithSpaces>3768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2023-02-28T16:55:00Z</dcterms:created>
  <dc:creator>tch</dc:creator>
  <cp:lastModifiedBy>kylin</cp:lastModifiedBy>
  <dcterms:modified xsi:type="dcterms:W3CDTF">2023-02-28T16:43:02Z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5CB33BEA4AF045979719E916A3159A24</vt:lpwstr>
  </property>
</Properties>
</file>