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val="0"/>
        <w:spacing w:line="396" w:lineRule="atLeast"/>
        <w:ind w:left="0" w:leftChars="0" w:right="0" w:rightChars="0" w:firstLine="0" w:firstLineChars="0"/>
        <w:jc w:val="both"/>
        <w:textAlignment w:val="auto"/>
        <w:rPr>
          <w:rFonts w:hint="eastAsia" w:ascii="宋体" w:hAnsi="宋体" w:eastAsia="宋体" w:cs="宋体"/>
          <w:b w:val="0"/>
          <w:bCs w:val="0"/>
          <w:kern w:val="21"/>
          <w:sz w:val="24"/>
          <w:szCs w:val="24"/>
        </w:rPr>
      </w:pPr>
      <w:bookmarkStart w:id="0" w:name="_GoBack"/>
      <w:bookmarkEnd w:id="0"/>
      <w:r>
        <w:rPr>
          <w:rFonts w:hint="eastAsia" w:ascii="宋体" w:hAnsi="宋体" w:eastAsia="宋体" w:cs="宋体"/>
          <w:b w:val="0"/>
          <w:bCs w:val="0"/>
          <w:kern w:val="21"/>
          <w:sz w:val="24"/>
          <w:szCs w:val="24"/>
        </w:rPr>
        <w:t>附件4</w:t>
      </w:r>
    </w:p>
    <w:p>
      <w:pPr>
        <w:pStyle w:val="4"/>
        <w:keepNext w:val="0"/>
        <w:keepLines w:val="0"/>
        <w:pageBreakBefore w:val="0"/>
        <w:widowControl w:val="0"/>
        <w:kinsoku/>
        <w:wordWrap/>
        <w:overflowPunct/>
        <w:topLinePunct w:val="0"/>
        <w:autoSpaceDE/>
        <w:autoSpaceDN/>
        <w:bidi w:val="0"/>
        <w:adjustRightInd w:val="0"/>
        <w:snapToGrid w:val="0"/>
        <w:spacing w:after="158" w:afterLines="50" w:line="0" w:lineRule="atLeast"/>
        <w:ind w:left="0" w:leftChars="0" w:right="0" w:rightChars="0"/>
        <w:jc w:val="center"/>
        <w:textAlignment w:val="auto"/>
        <w:rPr>
          <w:rFonts w:hint="eastAsia" w:ascii="宋体" w:hAnsi="宋体" w:eastAsia="宋体" w:cs="宋体"/>
          <w:b w:val="0"/>
          <w:bCs w:val="0"/>
          <w:kern w:val="21"/>
          <w:sz w:val="36"/>
          <w:szCs w:val="36"/>
        </w:rPr>
      </w:pPr>
      <w:r>
        <w:rPr>
          <w:rFonts w:hint="eastAsia" w:ascii="宋体" w:hAnsi="宋体" w:eastAsia="宋体" w:cs="宋体"/>
          <w:b w:val="0"/>
          <w:bCs w:val="0"/>
          <w:kern w:val="21"/>
          <w:sz w:val="36"/>
          <w:szCs w:val="36"/>
        </w:rPr>
        <w:t>深圳市交通建设工程试验检测机构信用评价评定标准</w:t>
      </w:r>
    </w:p>
    <w:tbl>
      <w:tblPr>
        <w:tblStyle w:val="2"/>
        <w:tblW w:w="13208"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06"/>
        <w:gridCol w:w="1452"/>
        <w:gridCol w:w="7725"/>
        <w:gridCol w:w="1778"/>
        <w:gridCol w:w="6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60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行为类别</w:t>
            </w:r>
          </w:p>
        </w:tc>
        <w:tc>
          <w:tcPr>
            <w:tcW w:w="14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行为代码</w:t>
            </w:r>
          </w:p>
        </w:tc>
        <w:tc>
          <w:tcPr>
            <w:tcW w:w="7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行为描述</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扣分标准</w:t>
            </w:r>
          </w:p>
        </w:tc>
        <w:tc>
          <w:tcPr>
            <w:tcW w:w="64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606"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投标行为（满分100分，扣完为止）</w:t>
            </w:r>
          </w:p>
        </w:tc>
        <w:tc>
          <w:tcPr>
            <w:tcW w:w="14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SZJTJC1-1</w:t>
            </w:r>
          </w:p>
        </w:tc>
        <w:tc>
          <w:tcPr>
            <w:tcW w:w="7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超越资质等级承揽工程。</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60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SZJTJC1-2</w:t>
            </w:r>
          </w:p>
        </w:tc>
        <w:tc>
          <w:tcPr>
            <w:tcW w:w="7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出借资质，允许其他单位或个人以本单位名义投标或承揽工程。</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60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SZJTJC1-3</w:t>
            </w:r>
          </w:p>
        </w:tc>
        <w:tc>
          <w:tcPr>
            <w:tcW w:w="7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以他人名义投标或弄虚作假骗取中标资格的。</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60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SZJTJC1-4</w:t>
            </w:r>
          </w:p>
        </w:tc>
        <w:tc>
          <w:tcPr>
            <w:tcW w:w="7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以行贿或其他违法形式骗取中标资格的。</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60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SZJTJC1-5</w:t>
            </w:r>
          </w:p>
        </w:tc>
        <w:tc>
          <w:tcPr>
            <w:tcW w:w="7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存在围标、串标等行为。</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60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SZJTJC1-6</w:t>
            </w:r>
          </w:p>
        </w:tc>
        <w:tc>
          <w:tcPr>
            <w:tcW w:w="7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法律、法规规定的其他严重违法情形。</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60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SZJTJC1-7</w:t>
            </w:r>
          </w:p>
        </w:tc>
        <w:tc>
          <w:tcPr>
            <w:tcW w:w="7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中标后无正当理由放弃中标。</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60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SZJTJC1-8</w:t>
            </w:r>
          </w:p>
        </w:tc>
        <w:tc>
          <w:tcPr>
            <w:tcW w:w="7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资格预审招标，无故放弃投标导致该标段或该次招标流标的。</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20分/次</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60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SZJTJC1-9</w:t>
            </w:r>
          </w:p>
        </w:tc>
        <w:tc>
          <w:tcPr>
            <w:tcW w:w="7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同一次招标中同一家企业多次报名或购买资格预审文件或招标文件。</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5分/次</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60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SZJTJC1-10</w:t>
            </w:r>
          </w:p>
        </w:tc>
        <w:tc>
          <w:tcPr>
            <w:tcW w:w="77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无正当理由拖延合同签订时间（因合同谈判原因的除外）。</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2"/>
        <w:tblW w:w="13209"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8"/>
        <w:gridCol w:w="1440"/>
        <w:gridCol w:w="1320"/>
        <w:gridCol w:w="6916"/>
        <w:gridCol w:w="1778"/>
        <w:gridCol w:w="6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行为类别</w:t>
            </w: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行为代码</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行为描述</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扣分标准</w:t>
            </w:r>
          </w:p>
        </w:tc>
        <w:tc>
          <w:tcPr>
            <w:tcW w:w="64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履约行为（满分100</w:t>
            </w:r>
            <w:r>
              <w:rPr>
                <w:rFonts w:hint="eastAsia" w:ascii="宋体" w:hAnsi="宋体" w:eastAsia="宋体" w:cs="宋体"/>
                <w:b w:val="0"/>
                <w:bCs w:val="0"/>
                <w:i w:val="0"/>
                <w:color w:val="000000"/>
                <w:spacing w:val="-2"/>
                <w:kern w:val="21"/>
                <w:sz w:val="21"/>
                <w:szCs w:val="21"/>
                <w:u w:val="none"/>
                <w:lang w:val="en-US" w:eastAsia="zh-CN" w:bidi="ar"/>
              </w:rPr>
              <w:t>分</w:t>
            </w:r>
            <w:r>
              <w:rPr>
                <w:rFonts w:hint="eastAsia" w:ascii="宋体" w:hAnsi="宋体" w:eastAsia="宋体" w:cs="宋体"/>
                <w:b w:val="0"/>
                <w:bCs w:val="0"/>
                <w:i w:val="0"/>
                <w:color w:val="000000"/>
                <w:spacing w:val="-11"/>
                <w:kern w:val="21"/>
                <w:sz w:val="21"/>
                <w:szCs w:val="21"/>
                <w:u w:val="none"/>
                <w:lang w:val="en-US" w:eastAsia="zh-CN" w:bidi="ar"/>
              </w:rPr>
              <w:t>，</w:t>
            </w:r>
            <w:r>
              <w:rPr>
                <w:rFonts w:hint="eastAsia" w:ascii="宋体" w:hAnsi="宋体" w:eastAsia="宋体" w:cs="宋体"/>
                <w:b w:val="0"/>
                <w:bCs w:val="0"/>
                <w:i w:val="0"/>
                <w:color w:val="000000"/>
                <w:spacing w:val="-2"/>
                <w:kern w:val="21"/>
                <w:sz w:val="21"/>
                <w:szCs w:val="21"/>
                <w:u w:val="none"/>
                <w:lang w:val="en-US" w:eastAsia="zh-CN" w:bidi="ar"/>
              </w:rPr>
              <w:t>扣完为</w:t>
            </w:r>
            <w:r>
              <w:rPr>
                <w:rFonts w:hint="eastAsia" w:ascii="宋体" w:hAnsi="宋体" w:eastAsia="宋体" w:cs="宋体"/>
                <w:b w:val="0"/>
                <w:bCs w:val="0"/>
                <w:i w:val="0"/>
                <w:color w:val="000000"/>
                <w:kern w:val="21"/>
                <w:sz w:val="21"/>
                <w:szCs w:val="21"/>
                <w:u w:val="none"/>
                <w:lang w:val="en-US" w:eastAsia="zh-CN" w:bidi="ar"/>
              </w:rPr>
              <w:t>止）</w:t>
            </w:r>
          </w:p>
        </w:tc>
        <w:tc>
          <w:tcPr>
            <w:tcW w:w="144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人员到位与管理情况（满分25分，扣完为止）</w:t>
            </w: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SZJTJC2-1-1</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未按规定或合同配备相应条件的试验检测人员或擅自变更试验检测人员（扣5分/检测师·次、3分/检测员·次）。</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5分/次、或3分/次</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SZJTJC2-1-2</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授权负责人不是母体机构派出人员的。</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SZJTJC2-1-3</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无职责分工或分工不明确的，扣1分；因检测人员替换造成工作脱节、资料缺失的，每次扣1分；有冒名顶替的，每人次扣2分；在检测人员到位、出勤等问题上有虚假或欺骗行为的，每次扣2分。</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1－5分/次</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SZJTJC2-1-4</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检测人员有持假证的，其中持虚假检测资格证的扣5分/人次，持虚假职称证的扣3分/人次，持其他虚假证件的扣2分/人次。</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2－5分/人</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SZJTJC2-1-5</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超越母体检测机构业务范围开展试验检测工作并出具试验检测报告的。</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10分/份</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SZJTJC2-1-6</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试验室检测人员证书不全（包括身份证、学历证、职称证、从业资格证等）的。</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SZJTJC2-1-7</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聘用重复执业的检测人员从事试验检测工作的。</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2分/人</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SZJTJC2-1-8</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评价期间内，试验检测机构技术负责人、质量负责人上岗资格达不到相应等级要求的。</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10分/人</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p>
        </w:tc>
        <w:tc>
          <w:tcPr>
            <w:tcW w:w="14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设施设备到位与驻地建设（满分25分</w:t>
            </w:r>
            <w:r>
              <w:rPr>
                <w:rFonts w:hint="eastAsia" w:ascii="宋体" w:hAnsi="宋体" w:eastAsia="宋体" w:cs="宋体"/>
                <w:b w:val="0"/>
                <w:bCs w:val="0"/>
                <w:i w:val="0"/>
                <w:color w:val="000000"/>
                <w:spacing w:val="-62"/>
                <w:kern w:val="21"/>
                <w:sz w:val="21"/>
                <w:szCs w:val="21"/>
                <w:u w:val="none"/>
                <w:lang w:val="en-US" w:eastAsia="zh-CN" w:bidi="ar"/>
              </w:rPr>
              <w:t>，</w:t>
            </w:r>
            <w:r>
              <w:rPr>
                <w:rFonts w:hint="eastAsia" w:ascii="宋体" w:hAnsi="宋体" w:eastAsia="宋体" w:cs="宋体"/>
                <w:b w:val="0"/>
                <w:bCs w:val="0"/>
                <w:i w:val="0"/>
                <w:color w:val="000000"/>
                <w:kern w:val="21"/>
                <w:sz w:val="21"/>
                <w:szCs w:val="21"/>
                <w:u w:val="none"/>
                <w:lang w:val="en-US" w:eastAsia="zh-CN" w:bidi="ar"/>
              </w:rPr>
              <w:t>扣完为止）</w:t>
            </w: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SZJTJC2-2-1</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试验检测机构驻地建设不满足投标承诺或工作需要的。</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3－5分/次</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试验检测工作情况（满分30分，扣完为止</w:t>
            </w:r>
            <w:r>
              <w:rPr>
                <w:rFonts w:hint="eastAsia" w:ascii="宋体" w:hAnsi="宋体" w:eastAsia="宋体" w:cs="宋体"/>
                <w:b w:val="0"/>
                <w:bCs w:val="0"/>
                <w:i w:val="0"/>
                <w:color w:val="000000"/>
                <w:spacing w:val="-62"/>
                <w:kern w:val="21"/>
                <w:sz w:val="21"/>
                <w:szCs w:val="21"/>
                <w:u w:val="none"/>
                <w:lang w:val="en-US" w:eastAsia="zh-CN" w:bidi="ar"/>
              </w:rPr>
              <w:t>）</w:t>
            </w: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SZJTJC2-3-1</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严重违反试验检测技术规程操作并造成严重后果的。</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SZJTJC2-3-2</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在重大质量事故或较大及以上等级安全事故中，试验检测机构负有主要责任的。</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SZJTJC2-3-3</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在一般质量事故或安全事故中，试验检测机构负有主要责任的。</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10－15分/次（视事故严重程度和责任程度）</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SZJTJC2-3-4</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存在虚假数据报告及其他虚假资料。</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10分/份</w:t>
            </w:r>
          </w:p>
        </w:tc>
        <w:tc>
          <w:tcPr>
            <w:tcW w:w="647"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SZJTJC2-3-5</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未经备案审核开展检测业务的。</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79"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SZJTJC2-3-6</w:t>
            </w:r>
          </w:p>
        </w:tc>
        <w:tc>
          <w:tcPr>
            <w:tcW w:w="691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试验检测原始记录信息及数据记录不全，结论不准确，试验检测报告不完整（含漏签、漏盖章）。</w:t>
            </w:r>
          </w:p>
        </w:tc>
        <w:tc>
          <w:tcPr>
            <w:tcW w:w="17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3分/类</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70"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2"/>
        <w:tblW w:w="1320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8"/>
        <w:gridCol w:w="1440"/>
        <w:gridCol w:w="1410"/>
        <w:gridCol w:w="6825"/>
        <w:gridCol w:w="1777"/>
        <w:gridCol w:w="6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行为类别</w:t>
            </w: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行为代码</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行为描述</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扣分标准</w:t>
            </w:r>
          </w:p>
        </w:tc>
        <w:tc>
          <w:tcPr>
            <w:tcW w:w="64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履约行为（满分100</w:t>
            </w:r>
            <w:r>
              <w:rPr>
                <w:rFonts w:hint="eastAsia" w:ascii="宋体" w:hAnsi="宋体" w:eastAsia="宋体" w:cs="宋体"/>
                <w:b w:val="0"/>
                <w:bCs w:val="0"/>
                <w:i w:val="0"/>
                <w:color w:val="000000"/>
                <w:spacing w:val="-2"/>
                <w:kern w:val="21"/>
                <w:sz w:val="21"/>
                <w:szCs w:val="21"/>
                <w:u w:val="none"/>
                <w:lang w:val="en-US" w:eastAsia="zh-CN" w:bidi="ar"/>
              </w:rPr>
              <w:t>分</w:t>
            </w:r>
            <w:r>
              <w:rPr>
                <w:rFonts w:hint="eastAsia" w:ascii="宋体" w:hAnsi="宋体" w:eastAsia="宋体" w:cs="宋体"/>
                <w:b w:val="0"/>
                <w:bCs w:val="0"/>
                <w:i w:val="0"/>
                <w:color w:val="000000"/>
                <w:spacing w:val="-11"/>
                <w:kern w:val="21"/>
                <w:sz w:val="21"/>
                <w:szCs w:val="21"/>
                <w:u w:val="none"/>
                <w:lang w:val="en-US" w:eastAsia="zh-CN" w:bidi="ar"/>
              </w:rPr>
              <w:t>，</w:t>
            </w:r>
            <w:r>
              <w:rPr>
                <w:rFonts w:hint="eastAsia" w:ascii="宋体" w:hAnsi="宋体" w:eastAsia="宋体" w:cs="宋体"/>
                <w:b w:val="0"/>
                <w:bCs w:val="0"/>
                <w:i w:val="0"/>
                <w:color w:val="000000"/>
                <w:spacing w:val="-2"/>
                <w:kern w:val="21"/>
                <w:sz w:val="21"/>
                <w:szCs w:val="21"/>
                <w:u w:val="none"/>
                <w:lang w:val="en-US" w:eastAsia="zh-CN" w:bidi="ar"/>
              </w:rPr>
              <w:t>扣完为</w:t>
            </w:r>
            <w:r>
              <w:rPr>
                <w:rFonts w:hint="eastAsia" w:ascii="宋体" w:hAnsi="宋体" w:eastAsia="宋体" w:cs="宋体"/>
                <w:b w:val="0"/>
                <w:bCs w:val="0"/>
                <w:i w:val="0"/>
                <w:color w:val="000000"/>
                <w:kern w:val="21"/>
                <w:sz w:val="21"/>
                <w:szCs w:val="21"/>
                <w:u w:val="none"/>
                <w:lang w:val="en-US" w:eastAsia="zh-CN" w:bidi="ar"/>
              </w:rPr>
              <w:t>止）</w:t>
            </w:r>
          </w:p>
        </w:tc>
        <w:tc>
          <w:tcPr>
            <w:tcW w:w="144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试验检测工作情况（满分30分，扣完为止</w:t>
            </w:r>
            <w:r>
              <w:rPr>
                <w:rFonts w:hint="eastAsia" w:ascii="宋体" w:hAnsi="宋体" w:eastAsia="宋体" w:cs="宋体"/>
                <w:b w:val="0"/>
                <w:bCs w:val="0"/>
                <w:i w:val="0"/>
                <w:color w:val="000000"/>
                <w:spacing w:val="-62"/>
                <w:kern w:val="21"/>
                <w:sz w:val="21"/>
                <w:szCs w:val="21"/>
                <w:u w:val="none"/>
                <w:lang w:val="en-US" w:eastAsia="zh-CN" w:bidi="ar"/>
              </w:rPr>
              <w:t>）</w:t>
            </w: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宋体" w:hAnsi="宋体" w:eastAsia="宋体" w:cs="宋体"/>
                <w:b w:val="0"/>
                <w:bCs w:val="0"/>
                <w:i w:val="0"/>
                <w:color w:val="000000"/>
                <w:kern w:val="21"/>
                <w:sz w:val="21"/>
                <w:szCs w:val="21"/>
                <w:u w:val="none"/>
                <w:lang w:val="en-US" w:eastAsia="zh-CN" w:bidi="ar"/>
              </w:rPr>
              <w:t>SZJTJC2-3-7</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宋体" w:hAnsi="宋体" w:eastAsia="宋体" w:cs="宋体"/>
                <w:b w:val="0"/>
                <w:bCs w:val="0"/>
                <w:i w:val="0"/>
                <w:color w:val="000000"/>
                <w:kern w:val="21"/>
                <w:sz w:val="21"/>
                <w:szCs w:val="21"/>
                <w:u w:val="none"/>
                <w:lang w:val="en-US" w:eastAsia="zh-CN" w:bidi="ar"/>
              </w:rPr>
              <w:t>未按相关标准、规范、试验规程等要求开展试验检测工作，试验检测数据失真的。</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宋体" w:hAnsi="宋体" w:eastAsia="宋体" w:cs="宋体"/>
                <w:b w:val="0"/>
                <w:bCs w:val="0"/>
                <w:i w:val="0"/>
                <w:color w:val="000000"/>
                <w:kern w:val="21"/>
                <w:sz w:val="21"/>
                <w:szCs w:val="21"/>
                <w:u w:val="none"/>
                <w:lang w:val="en-US" w:eastAsia="zh-CN" w:bidi="ar"/>
              </w:rPr>
              <w:t>4分/次</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SZJTJC2-3-8</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未按规定上报发现的检测不合格事项以及不合格报告；不按时向监督部门、建设单位报送有关资料的。</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4分/次</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SZJTJC2-3-9</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存在试验检测人员越权签发、代签、漏签试验检测报告的。</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4分/类</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SZJTJC2-3-10</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试验检测档案资料分类不清晰、归档不及时、不完整或保管不完善的。</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4分/次</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SZJTJC2-3-11</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试验检测频率不满足规范或合同要求；或不满足质量评定要求的。</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4分/次</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SZJTJC2-3-12</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由于试验检测工作原因，导致工程进度滞后；或试验检测工作不能满足工程进度需要。</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SZJTJC2-3-13</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对各级单位检查发现问题未及时整改的或整改不到位的（视情节严重程度）。</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1－14分/次</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廉政合同执行情况（满分10分，扣完为止</w:t>
            </w:r>
            <w:r>
              <w:rPr>
                <w:rFonts w:hint="eastAsia" w:ascii="宋体" w:hAnsi="宋体" w:eastAsia="宋体" w:cs="宋体"/>
                <w:b w:val="0"/>
                <w:bCs w:val="0"/>
                <w:i w:val="0"/>
                <w:color w:val="000000"/>
                <w:spacing w:val="-62"/>
                <w:kern w:val="21"/>
                <w:sz w:val="21"/>
                <w:szCs w:val="21"/>
                <w:u w:val="none"/>
                <w:lang w:val="en-US" w:eastAsia="zh-CN" w:bidi="ar"/>
              </w:rPr>
              <w:t>）</w:t>
            </w: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SZJTJC2-4-1</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在试验检测工作中，有徇私舞弊、有吃拿卡要行为。</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扣10分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SZJTJC2-4-2</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利用工作之便推销建筑材料、构配件和设备的。</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扣10分/次</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10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工作效果（满</w:t>
            </w:r>
            <w:r>
              <w:rPr>
                <w:rFonts w:hint="eastAsia" w:ascii="宋体" w:hAnsi="宋体" w:eastAsia="宋体" w:cs="宋体"/>
                <w:b w:val="0"/>
                <w:bCs w:val="0"/>
                <w:i w:val="0"/>
                <w:color w:val="000000"/>
                <w:spacing w:val="-2"/>
                <w:kern w:val="21"/>
                <w:sz w:val="21"/>
                <w:szCs w:val="21"/>
                <w:u w:val="none"/>
                <w:lang w:val="en-US" w:eastAsia="zh-CN" w:bidi="ar"/>
              </w:rPr>
              <w:t>分10分，扣完</w:t>
            </w:r>
            <w:r>
              <w:rPr>
                <w:rFonts w:hint="eastAsia" w:ascii="宋体" w:hAnsi="宋体" w:eastAsia="宋体" w:cs="宋体"/>
                <w:b w:val="0"/>
                <w:bCs w:val="0"/>
                <w:i w:val="0"/>
                <w:color w:val="000000"/>
                <w:kern w:val="21"/>
                <w:sz w:val="21"/>
                <w:szCs w:val="21"/>
                <w:u w:val="none"/>
                <w:lang w:val="en-US" w:eastAsia="zh-CN" w:bidi="ar"/>
              </w:rPr>
              <w:t>为止）</w:t>
            </w: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SZJTJC2-5-1</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试验检测工作效果评价（项目建设单位根据试验检测机构日常工作综合表现予以扣分）。</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1－10分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8"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其他失信行为（在企业总分中扣分；针对同一事件的扣分按最高分值只计一次）</w:t>
            </w: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SZJTJC3-1</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出具虚假数据报告并造成质量标准降低的。</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8"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SZJTJC3-2</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被司法机关认定企业有行贿、受贿行为，并构成犯罪。</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8"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SZJTJC3-3</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在申请试验检测等级评定、换证复核、信息变更等过程中采用弄虚作假等手段获取资质等级的。</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8"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SZJTJC3-4</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违法分包、转包试验检测工作，被查证属实的。</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8"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SZJTJC3-5</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试验检测机构存在出具虚假数据报告及其他虚假资料。</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8"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SZJTJC3-6</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被深圳市交通主管部门、质量监督机构或相关部门通报批评的。</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扣5分/次</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8"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41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SZJTJC3-7</w:t>
            </w:r>
          </w:p>
        </w:tc>
        <w:tc>
          <w:tcPr>
            <w:tcW w:w="68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信用评价工作中弄虚作假或以不正当手段骗取较高信用等级。</w:t>
            </w:r>
          </w:p>
        </w:tc>
        <w:tc>
          <w:tcPr>
            <w:tcW w:w="177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39" w:beforeLines="12" w:after="39" w:afterLines="12" w:line="272"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2"/>
        <w:tblW w:w="1320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6"/>
        <w:gridCol w:w="1320"/>
        <w:gridCol w:w="6705"/>
        <w:gridCol w:w="1989"/>
        <w:gridCol w:w="6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行为类别</w:t>
            </w: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行为代码</w:t>
            </w:r>
          </w:p>
        </w:tc>
        <w:tc>
          <w:tcPr>
            <w:tcW w:w="67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行为描述</w:t>
            </w:r>
          </w:p>
        </w:tc>
        <w:tc>
          <w:tcPr>
            <w:tcW w:w="198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扣分标准</w:t>
            </w:r>
          </w:p>
        </w:tc>
        <w:tc>
          <w:tcPr>
            <w:tcW w:w="64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其他失信行为（在企业总分中扣分；针对同一事件的扣分按最高分值只计一次）</w:t>
            </w: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SZJTJC3-8</w:t>
            </w:r>
          </w:p>
        </w:tc>
        <w:tc>
          <w:tcPr>
            <w:tcW w:w="67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在深圳市交通运输局监管范围内项目的检测从业单位发生安全生产责任事故的，扣0.5分×事故起数×死亡人数（事故类型以安全生产事故调查报告或事故调查处理单位有关证明为准，自然灾害造成的伤亡情况除外）。</w:t>
            </w:r>
          </w:p>
        </w:tc>
        <w:tc>
          <w:tcPr>
            <w:tcW w:w="198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扣0.5分×事故起数×死亡人数</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6"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良好信誉行为（在企业总分增加，针对同一事件的表彰内容，不累加，取最高加分值）</w:t>
            </w: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SZJTJC4-1</w:t>
            </w:r>
          </w:p>
        </w:tc>
        <w:tc>
          <w:tcPr>
            <w:tcW w:w="67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评价年度内，在项目建设过程中表现突出，获得市、区级交通运输主管部门通报表彰（含表扬、感谢）。</w:t>
            </w:r>
          </w:p>
        </w:tc>
        <w:tc>
          <w:tcPr>
            <w:tcW w:w="198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加0.5－1分/次（区级0.5分/次，市级1分/次，最高限值3分）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SZJTJC4-2</w:t>
            </w:r>
          </w:p>
        </w:tc>
        <w:tc>
          <w:tcPr>
            <w:tcW w:w="67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评价年度内，检测从业单位作为主要单位承担的深圳市公路和市政道路建设项目或科研课题获得国家科技进步奖（二等奖以上）、国家优质工程奖、詹天佑奖、鲁班奖。</w:t>
            </w:r>
          </w:p>
        </w:tc>
        <w:tc>
          <w:tcPr>
            <w:tcW w:w="198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加0.5分（在企业总分增加，最高限值1分）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SZJTJC4-3</w:t>
            </w:r>
          </w:p>
        </w:tc>
        <w:tc>
          <w:tcPr>
            <w:tcW w:w="67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7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主编国家、行业检测标准。</w:t>
            </w:r>
          </w:p>
        </w:tc>
        <w:tc>
          <w:tcPr>
            <w:tcW w:w="198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2分/人次（最高限值6分）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SZJTJC4-4</w:t>
            </w:r>
          </w:p>
        </w:tc>
        <w:tc>
          <w:tcPr>
            <w:tcW w:w="67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主编地方检测标准。</w:t>
            </w:r>
          </w:p>
        </w:tc>
        <w:tc>
          <w:tcPr>
            <w:tcW w:w="198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1分/次（最高限值4分）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SZJTJC4-5</w:t>
            </w:r>
          </w:p>
        </w:tc>
        <w:tc>
          <w:tcPr>
            <w:tcW w:w="67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参编国家、行业检测标准。</w:t>
            </w:r>
          </w:p>
        </w:tc>
        <w:tc>
          <w:tcPr>
            <w:tcW w:w="198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1分/次（最高限值4分）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SZJTJC4-6</w:t>
            </w:r>
          </w:p>
        </w:tc>
        <w:tc>
          <w:tcPr>
            <w:tcW w:w="67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参编地方检测标准。</w:t>
            </w:r>
          </w:p>
        </w:tc>
        <w:tc>
          <w:tcPr>
            <w:tcW w:w="198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0.5分/次（最高限值2分）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SZJTJC4-7</w:t>
            </w:r>
          </w:p>
        </w:tc>
        <w:tc>
          <w:tcPr>
            <w:tcW w:w="67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参加深圳市交通运输局监管范围内项目的工程检测业绩加分。</w:t>
            </w:r>
          </w:p>
        </w:tc>
        <w:tc>
          <w:tcPr>
            <w:tcW w:w="198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每100份检测报告/1分（最高限值2分）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254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2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SZJTJC4-8</w:t>
            </w:r>
          </w:p>
        </w:tc>
        <w:tc>
          <w:tcPr>
            <w:tcW w:w="67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评价年度内一个季度检测能力验证或比对试验验证结果全为“满意”。</w:t>
            </w:r>
          </w:p>
        </w:tc>
        <w:tc>
          <w:tcPr>
            <w:tcW w:w="198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0.5分/次（最高限值2分）</w:t>
            </w:r>
          </w:p>
        </w:tc>
        <w:tc>
          <w:tcPr>
            <w:tcW w:w="64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83" w:hRule="atLeast"/>
          <w:jc w:val="center"/>
        </w:trPr>
        <w:tc>
          <w:tcPr>
            <w:tcW w:w="13207" w:type="dxa"/>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63" w:beforeLines="20" w:after="63" w:afterLines="20" w:line="280" w:lineRule="exact"/>
              <w:ind w:left="-63" w:leftChars="-30" w:right="-63" w:rightChars="-30"/>
              <w:jc w:val="both"/>
              <w:textAlignment w:val="center"/>
              <w:rPr>
                <w:rFonts w:hint="eastAsia" w:ascii="楷体_GB2312" w:hAnsi="楷体_GB2312" w:eastAsia="楷体_GB2312" w:cs="楷体_GB2312"/>
                <w:b w:val="0"/>
                <w:bCs w:val="0"/>
                <w:i w:val="0"/>
                <w:color w:val="000000"/>
                <w:kern w:val="21"/>
                <w:sz w:val="21"/>
                <w:szCs w:val="21"/>
                <w:u w:val="none"/>
              </w:rPr>
            </w:pPr>
            <w:r>
              <w:rPr>
                <w:rFonts w:hint="eastAsia" w:ascii="楷体_GB2312" w:hAnsi="楷体_GB2312" w:eastAsia="楷体_GB2312" w:cs="楷体_GB2312"/>
                <w:b w:val="0"/>
                <w:bCs w:val="0"/>
                <w:i w:val="0"/>
                <w:color w:val="000000"/>
                <w:kern w:val="21"/>
                <w:sz w:val="21"/>
                <w:szCs w:val="21"/>
                <w:u w:val="none"/>
                <w:lang w:val="en-US" w:eastAsia="zh-CN" w:bidi="ar"/>
              </w:rPr>
              <w:t>说明：表中所列不良行为扣分项经多次要求书面整改未整改的按照每超出整改时间相同天数再扣一次分数累计。</w:t>
            </w:r>
          </w:p>
        </w:tc>
      </w:tr>
    </w:tbl>
    <w:p/>
    <w:sectPr>
      <w:pgSz w:w="16838" w:h="11906" w:orient="landscape"/>
      <w:pgMar w:top="1417" w:right="1843" w:bottom="1417" w:left="18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OTAxZWIyOGZkNmIyMjIyZGRlYTRkZmZjMTRjYWQifQ=="/>
  </w:docVars>
  <w:rsids>
    <w:rsidRoot w:val="2F442F51"/>
    <w:rsid w:val="2F442F51"/>
    <w:rsid w:val="63E03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_Style 2"/>
    <w:basedOn w:val="1"/>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2023-09-20T03:59:00Z</dcterms:created>
  <dc:creator>龙瑶</dc:creator>
  <cp:lastModifiedBy>办公室1115</cp:lastModifiedBy>
  <dcterms:modified xsi:type="dcterms:W3CDTF">2023-09-25T03:24:48Z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6AE7DF33C38C4BEF976DCC9F6D193F3A_11</vt:lpwstr>
  </property>
</Properties>
</file>