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line="396" w:lineRule="atLeast"/>
        <w:ind w:left="0" w:leftChars="0" w:right="0" w:rightChars="0" w:firstLine="0" w:firstLineChars="0"/>
        <w:jc w:val="both"/>
        <w:textAlignment w:val="auto"/>
        <w:rPr>
          <w:rFonts w:hint="eastAsia" w:ascii="宋体" w:hAnsi="宋体" w:eastAsia="宋体" w:cs="宋体"/>
          <w:b w:val="0"/>
          <w:bCs w:val="0"/>
          <w:kern w:val="21"/>
          <w:sz w:val="24"/>
          <w:szCs w:val="24"/>
        </w:rPr>
      </w:pPr>
      <w:bookmarkStart w:id="0" w:name="_GoBack"/>
      <w:bookmarkEnd w:id="0"/>
      <w:r>
        <w:rPr>
          <w:rFonts w:hint="eastAsia" w:ascii="宋体" w:hAnsi="宋体" w:eastAsia="宋体" w:cs="宋体"/>
          <w:b w:val="0"/>
          <w:bCs w:val="0"/>
          <w:kern w:val="21"/>
          <w:sz w:val="24"/>
          <w:szCs w:val="24"/>
        </w:rPr>
        <w:t>附件5</w:t>
      </w:r>
    </w:p>
    <w:p>
      <w:pPr>
        <w:pStyle w:val="4"/>
        <w:keepNext w:val="0"/>
        <w:keepLines w:val="0"/>
        <w:pageBreakBefore w:val="0"/>
        <w:widowControl w:val="0"/>
        <w:kinsoku/>
        <w:wordWrap/>
        <w:overflowPunct/>
        <w:topLinePunct w:val="0"/>
        <w:autoSpaceDE/>
        <w:autoSpaceDN/>
        <w:bidi w:val="0"/>
        <w:adjustRightInd w:val="0"/>
        <w:snapToGrid w:val="0"/>
        <w:spacing w:after="158" w:afterLines="50" w:line="0" w:lineRule="atLeast"/>
        <w:ind w:left="0" w:leftChars="0" w:right="0" w:rightChars="0"/>
        <w:jc w:val="center"/>
        <w:textAlignment w:val="auto"/>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深圳市交通建设工程咨询企业信用评价评定标准</w:t>
      </w:r>
    </w:p>
    <w:tbl>
      <w:tblPr>
        <w:tblStyle w:val="2"/>
        <w:tblW w:w="132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2"/>
        <w:gridCol w:w="1410"/>
        <w:gridCol w:w="1290"/>
        <w:gridCol w:w="7200"/>
        <w:gridCol w:w="1545"/>
        <w:gridCol w:w="6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行为代码</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行为描述</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扣分标准</w:t>
            </w:r>
          </w:p>
        </w:tc>
        <w:tc>
          <w:tcPr>
            <w:tcW w:w="64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投标行为（满分100分，扣完为止）</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SZJTZX1-1</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出借资质，允许其他单位或个人以本单位名义投标或承揽工程。</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SZJTZX1-2</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以他人名义投标或弄虚作假骗取中标资格的。</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SZJTZX1-3</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以行贿或其他违法形式骗取中标资格的。</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SZJTZX1-4</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存在围标、串标等行为。</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SZJTZX1-5</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法律、法规规定的其他严重违法情形。</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SZJTZX1-6</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中标后无正当理由放弃中标。</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SZJTZX1-7</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资格预审招标，无故放弃投标导致该标段或该次招标流标的。</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SZJTZX1-8</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无正当理由拖延合同签订时间（因合同谈判原因的除外）。</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分，扣完为</w:t>
            </w:r>
            <w:r>
              <w:rPr>
                <w:rFonts w:hint="eastAsia" w:ascii="宋体" w:hAnsi="宋体" w:eastAsia="宋体" w:cs="宋体"/>
                <w:b w:val="0"/>
                <w:bCs w:val="0"/>
                <w:i w:val="0"/>
                <w:color w:val="000000"/>
                <w:kern w:val="21"/>
                <w:sz w:val="21"/>
                <w:szCs w:val="21"/>
                <w:u w:val="none"/>
                <w:lang w:val="en-US" w:eastAsia="zh-CN" w:bidi="ar"/>
              </w:rPr>
              <w:t>止）</w:t>
            </w:r>
          </w:p>
        </w:tc>
        <w:tc>
          <w:tcPr>
            <w:tcW w:w="141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人员到位（满分25分，扣完为止）</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SZJTZX2-1-1</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投标书承诺的项目负责人未经项目委托单位同意更换。</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12分/人次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SZJTZX2-1-2</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投标书承诺的其他专业负责人未经项目委托单位同意更换。</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6分/人次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进度管理（满分15分，扣完为止）</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SZJTZX2-2-1</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因咨询单位原因未按合同约定时间提交咨询成果。</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12分/次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SZJTZX2-2-2</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因咨询单位原因未按合同约定开展工作或因自身原因提交咨询成果的时间不满足合同规定或未按委托单位书面形式要求提交咨询成果。</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SZJTZX2-2-3</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因咨询单位进度原因，引起项目推迟开工。</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SZJTZX2-2-4</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因咨询单位原因未按时参加成果报告专家评审会。</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p>
        </w:tc>
        <w:tc>
          <w:tcPr>
            <w:tcW w:w="141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成果质量（满分30分，扣完为止）</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SZJTZX2-3-1</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因咨询单位原因造成重大质量或重大及以上等级安全事故。</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SZJTZX2-3-2</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因咨询单位原因引起一般质量事故或较大安全事故（《工程咨询行业管理办法》明确咨询包含了全过程工程咨询，可包含质量、安全评估等）。</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SZJTZX2-3-3</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因咨询单位原因引起一般质量问题或一般安全事故。</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SZJTZX2-3-4</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咨询成果报告不满足行业标准、规范和有关主管部门文件要求（单次审查、验收或检查为一次，视严重程度扣分，下同）。</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5－10分/项次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SZJTZX2-3-5</w:t>
            </w:r>
          </w:p>
        </w:tc>
        <w:tc>
          <w:tcPr>
            <w:tcW w:w="7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签章不全、未授权代签或借用他人资格签章。</w:t>
            </w:r>
          </w:p>
        </w:tc>
        <w:tc>
          <w:tcPr>
            <w:tcW w:w="15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5分/项次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32" w:beforeLines="10" w:after="32" w:afterLines="10"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132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2"/>
        <w:gridCol w:w="1410"/>
        <w:gridCol w:w="1290"/>
        <w:gridCol w:w="6840"/>
        <w:gridCol w:w="1905"/>
        <w:gridCol w:w="6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64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分，扣完为</w:t>
            </w:r>
            <w:r>
              <w:rPr>
                <w:rFonts w:hint="eastAsia" w:ascii="宋体" w:hAnsi="宋体" w:eastAsia="宋体" w:cs="宋体"/>
                <w:b w:val="0"/>
                <w:bCs w:val="0"/>
                <w:i w:val="0"/>
                <w:color w:val="000000"/>
                <w:kern w:val="21"/>
                <w:sz w:val="21"/>
                <w:szCs w:val="21"/>
                <w:u w:val="none"/>
                <w:lang w:val="en-US" w:eastAsia="zh-CN" w:bidi="ar"/>
              </w:rPr>
              <w:t>止）</w:t>
            </w:r>
          </w:p>
        </w:tc>
        <w:tc>
          <w:tcPr>
            <w:tcW w:w="141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成果质量（满分30分，扣完为止）</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SZJTZX2-3-6</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对有关主管部门批复意见或审查意见未落实且无正当理由。</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5－10分/项次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SZJTZX2-3-7</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因咨询单位原因，引起重大设计变更。</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20分/项次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SZJTZX2-3-8</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因咨询单位原因，引起较大设计变更。</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其他履约失信行为（满分30</w:t>
            </w:r>
            <w:r>
              <w:rPr>
                <w:rFonts w:hint="eastAsia" w:ascii="宋体" w:hAnsi="宋体" w:eastAsia="宋体" w:cs="宋体"/>
                <w:b w:val="0"/>
                <w:bCs w:val="0"/>
                <w:i w:val="0"/>
                <w:color w:val="000000"/>
                <w:spacing w:val="-2"/>
                <w:kern w:val="21"/>
                <w:sz w:val="21"/>
                <w:szCs w:val="21"/>
                <w:u w:val="none"/>
                <w:lang w:val="en-US" w:eastAsia="zh-CN" w:bidi="ar"/>
              </w:rPr>
              <w:t>分</w:t>
            </w:r>
            <w:r>
              <w:rPr>
                <w:rFonts w:hint="eastAsia" w:ascii="宋体" w:hAnsi="宋体" w:eastAsia="宋体" w:cs="宋体"/>
                <w:b w:val="0"/>
                <w:bCs w:val="0"/>
                <w:i w:val="0"/>
                <w:color w:val="000000"/>
                <w:spacing w:val="-11"/>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扣完为止</w:t>
            </w:r>
            <w:r>
              <w:rPr>
                <w:rFonts w:hint="eastAsia" w:ascii="宋体" w:hAnsi="宋体" w:eastAsia="宋体" w:cs="宋体"/>
                <w:b w:val="0"/>
                <w:bCs w:val="0"/>
                <w:i w:val="0"/>
                <w:color w:val="000000"/>
                <w:spacing w:val="-62"/>
                <w:kern w:val="21"/>
                <w:sz w:val="21"/>
                <w:szCs w:val="21"/>
                <w:u w:val="none"/>
                <w:lang w:val="en-US" w:eastAsia="zh-CN" w:bidi="ar"/>
              </w:rPr>
              <w:t>）</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SZJTZX2-4-1</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将中标合同转包或违法分包。</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SZJTZX2-4-2</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违规谋取非法利益。</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30分/次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SZJTZX2-4-3</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发生廉政事件但未触犯刑事法律。</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8分/次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SZJTZX2-4-4</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在深交通建设项目发生其他不良或违规行为，被项目建设单位或咨询委托单位通报批评的每次扣2分。</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3－5分/次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SZJTZX3-1</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被司法机关认定有单位行贿、受贿行为，并构成犯罪。</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SZJTZX3-2</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市交通运输主管部门要求企业填报向社会公布的信息，存在虚假的（单个人员、设备、业绩等信息为1项）。</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扣10分/项次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SZJTZX3-3</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承接的在建项目被深圳市交通运输主管部门通报批评的。</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扣5分/次</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SZJTZX3-4</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由于咨询单位主要责任，已建成工程项目出现质量问题被深圳市交通主管部门通报的。</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扣5－25分</w:t>
            </w:r>
          </w:p>
        </w:tc>
        <w:tc>
          <w:tcPr>
            <w:tcW w:w="64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良好信誉行为（在企业总分增加，针对同一事件的表彰内容，不累加，取最高加分值）</w:t>
            </w: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SZJTZX4-1</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评价年度内，在项目建设过程中表现突出，获得市、区级交通运输主管部门通报表彰（含表扬、感谢）。</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加0.5－1分/次（区级0.5分/次，市级1分/次，最高限值3分）</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SZJTZX4-2</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评价年度内，从业单位作为主要咨询单位承担的在深交通建设项目或科研课题获得国家科技进步奖（二等奖以上）、国家优质工程奖、詹天佑奖、鲁班奖。</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加1分（在企业总分增加，最高限值5分）</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3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2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SZJTZX4-3</w:t>
            </w:r>
          </w:p>
        </w:tc>
        <w:tc>
          <w:tcPr>
            <w:tcW w:w="68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评价年度内，从业单位作为主要单位承担的深圳市交通建设工程项目或科研课题获得广东省建设工程金匠奖、广东省建设工程优质奖。</w:t>
            </w:r>
          </w:p>
        </w:tc>
        <w:tc>
          <w:tcPr>
            <w:tcW w:w="19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加0.5分/次（最高限值2分）</w:t>
            </w:r>
          </w:p>
        </w:tc>
        <w:tc>
          <w:tcPr>
            <w:tcW w:w="64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48" w:beforeLines="15" w:after="48" w:afterLines="15" w:line="266"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pStyle w:val="4"/>
        <w:keepNext w:val="0"/>
        <w:keepLines w:val="0"/>
        <w:pageBreakBefore w:val="0"/>
        <w:widowControl w:val="0"/>
        <w:kinsoku/>
        <w:wordWrap/>
        <w:overflowPunct/>
        <w:topLinePunct w:val="0"/>
        <w:autoSpaceDE/>
        <w:autoSpaceDN/>
        <w:bidi w:val="0"/>
        <w:adjustRightInd w:val="0"/>
        <w:snapToGrid w:val="0"/>
        <w:spacing w:before="95" w:beforeLines="30" w:line="260" w:lineRule="exact"/>
        <w:ind w:left="0" w:leftChars="0" w:right="0" w:rightChars="0" w:firstLine="0" w:firstLineChars="0"/>
        <w:jc w:val="both"/>
        <w:textAlignment w:val="auto"/>
        <w:rPr>
          <w:rFonts w:hint="eastAsia" w:ascii="楷体_GB2312" w:hAnsi="楷体_GB2312" w:eastAsia="楷体_GB2312" w:cs="楷体_GB2312"/>
          <w:b w:val="0"/>
          <w:bCs w:val="0"/>
          <w:kern w:val="21"/>
          <w:sz w:val="21"/>
          <w:szCs w:val="21"/>
        </w:rPr>
      </w:pPr>
      <w:r>
        <w:rPr>
          <w:rFonts w:hint="eastAsia" w:ascii="楷体_GB2312" w:hAnsi="楷体_GB2312" w:eastAsia="楷体_GB2312" w:cs="楷体_GB2312"/>
          <w:b w:val="0"/>
          <w:bCs w:val="0"/>
          <w:kern w:val="21"/>
          <w:sz w:val="21"/>
          <w:szCs w:val="21"/>
        </w:rPr>
        <w:t>注：表中所列不良行为扣分项经多次要求书面整改未整改的按照每超出整改时间相同天数再扣一次分数累计。</w:t>
      </w:r>
    </w:p>
    <w:p/>
    <w:sectPr>
      <w:pgSz w:w="16838" w:h="11906" w:orient="landscape"/>
      <w:pgMar w:top="1417" w:right="1843" w:bottom="1417"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0FD016F7"/>
    <w:rsid w:val="0FD016F7"/>
    <w:rsid w:val="25C4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_Style 2"/>
    <w:basedOn w:val="1"/>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2023-09-20T04:02:00Z</dcterms:created>
  <dc:creator>龙瑶</dc:creator>
  <cp:lastModifiedBy>办公室1115</cp:lastModifiedBy>
  <dcterms:modified xsi:type="dcterms:W3CDTF">2023-09-25T03:25:21Z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E3EE4B27F37E47348D4166604DE23201_11</vt:lpwstr>
  </property>
</Properties>
</file>