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bCs/>
          <w:sz w:val="32"/>
          <w:lang w:val="en-US" w:eastAsia="zh-CN"/>
        </w:rPr>
        <w:t>密级：</w:t>
      </w:r>
      <w:r>
        <w:rPr>
          <w:rFonts w:hint="eastAsia" w:ascii="仿宋_GB2312" w:hAnsi="仿宋_GB2312" w:eastAsia="仿宋_GB2312" w:cs="仿宋_GB2312"/>
          <w:b w:val="0"/>
          <w:sz w:val="32"/>
          <w:szCs w:val="32"/>
          <w:lang w:val="en-US" w:eastAsia="zh-CN"/>
        </w:rPr>
        <w:t>公开</w:t>
      </w:r>
    </w:p>
    <w:p>
      <w:pPr>
        <w:spacing w:line="240" w:lineRule="auto"/>
        <w:rPr>
          <w:rFonts w:hint="eastAsia" w:ascii="仿宋_GB2312" w:hAnsi="仿宋_GB2312" w:eastAsia="仿宋_GB2312" w:cs="仿宋_GB2312"/>
          <w:b w:val="0"/>
          <w:sz w:val="32"/>
          <w:lang w:eastAsia="zh-CN"/>
        </w:rPr>
      </w:pPr>
      <w:bookmarkStart w:id="0" w:name="_GoBack"/>
      <w:bookmarkEnd w:id="0"/>
    </w:p>
    <w:p>
      <w:pPr>
        <w:spacing w:line="240" w:lineRule="auto"/>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szCs w:val="32"/>
          <w:lang w:val="en-US" w:eastAsia="zh-CN"/>
        </w:rPr>
        <w:t>建议</w:t>
      </w:r>
      <w:r>
        <w:rPr>
          <w:rFonts w:hint="eastAsia" w:ascii="仿宋_GB2312" w:hAnsi="仿宋_GB2312" w:eastAsia="仿宋_GB2312" w:cs="仿宋_GB2312"/>
          <w:b w:val="0"/>
          <w:sz w:val="32"/>
          <w:lang w:eastAsia="zh-CN"/>
        </w:rPr>
        <w:t>第</w:t>
      </w:r>
      <w:r>
        <w:rPr>
          <w:rFonts w:hint="eastAsia" w:ascii="仿宋_GB2312" w:hAnsi="仿宋_GB2312" w:eastAsia="仿宋_GB2312" w:cs="仿宋_GB2312"/>
          <w:b w:val="0"/>
          <w:sz w:val="28"/>
          <w:lang w:val="en-US" w:eastAsia="zh-CN"/>
        </w:rPr>
        <w:t>20230237</w:t>
      </w:r>
      <w:r>
        <w:rPr>
          <w:rFonts w:hint="eastAsia" w:ascii="仿宋_GB2312" w:hAnsi="仿宋_GB2312" w:eastAsia="仿宋_GB2312" w:cs="仿宋_GB2312"/>
          <w:b w:val="0"/>
          <w:sz w:val="32"/>
          <w:lang w:eastAsia="zh-CN"/>
        </w:rPr>
        <w:t>号</w:t>
      </w:r>
    </w:p>
    <w:p>
      <w:pPr>
        <w:spacing w:line="240" w:lineRule="auto"/>
        <w:ind w:left="1506" w:leftChars="0" w:right="0" w:rightChars="0" w:hanging="1506" w:hangingChars="500"/>
        <w:rPr>
          <w:rFonts w:hint="eastAsia" w:ascii="仿宋_GB2312" w:hAnsi="仿宋_GB2312" w:eastAsia="仿宋_GB2312" w:cs="仿宋_GB2312"/>
          <w:b w:val="0"/>
          <w:sz w:val="30"/>
          <w:szCs w:val="30"/>
          <w:lang w:eastAsia="zh-CN"/>
        </w:rPr>
      </w:pPr>
      <w:r>
        <w:rPr>
          <w:rFonts w:hint="eastAsia" w:ascii="仿宋_GB2312" w:hAnsi="仿宋_GB2312" w:eastAsia="仿宋_GB2312" w:cs="仿宋_GB2312"/>
          <w:b/>
          <w:bCs/>
          <w:sz w:val="30"/>
          <w:szCs w:val="30"/>
          <w:lang w:eastAsia="zh-CN"/>
        </w:rPr>
        <w:t>案    由</w:t>
      </w:r>
      <w:r>
        <w:rPr>
          <w:rFonts w:hint="eastAsia" w:ascii="仿宋_GB2312" w:hAnsi="仿宋_GB2312" w:eastAsia="仿宋_GB2312" w:cs="仿宋_GB2312"/>
          <w:b w:val="0"/>
          <w:sz w:val="30"/>
          <w:szCs w:val="30"/>
          <w:lang w:eastAsia="zh-CN"/>
        </w:rPr>
        <w:t>：</w:t>
      </w:r>
      <w:r>
        <w:rPr>
          <w:rFonts w:hint="eastAsia" w:ascii="仿宋_GB2312" w:hAnsi="仿宋_GB2312" w:eastAsia="仿宋_GB2312" w:cs="仿宋_GB2312"/>
          <w:b w:val="0"/>
          <w:sz w:val="30"/>
          <w:szCs w:val="30"/>
          <w:lang w:val="en-US" w:eastAsia="zh-CN"/>
        </w:rPr>
        <w:t>关于加大非法营运摩电打击力度营造良好交通环境的建议</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提 出 人：</w:t>
      </w:r>
      <w:r>
        <w:rPr>
          <w:rFonts w:hint="eastAsia" w:ascii="仿宋_GB2312" w:hAnsi="仿宋_GB2312" w:eastAsia="仿宋_GB2312" w:cs="仿宋_GB2312"/>
          <w:b w:val="0"/>
          <w:sz w:val="32"/>
          <w:szCs w:val="32"/>
          <w:lang w:val="en-US" w:eastAsia="zh-CN"/>
        </w:rPr>
        <w:t>李晓桃,刘南筠,卢边芳,李军,刘健,刘湘江,明亮,张钜,宋广军,陈鹏</w:t>
      </w:r>
      <w:r>
        <w:rPr>
          <w:rFonts w:hint="eastAsia" w:ascii="仿宋_GB2312" w:hAnsi="仿宋_GB2312" w:eastAsia="仿宋_GB2312" w:cs="仿宋_GB2312"/>
          <w:b w:val="0"/>
          <w:sz w:val="32"/>
          <w:szCs w:val="32"/>
          <w:lang w:val="en-US" w:eastAsia="zh-CN"/>
        </w:rPr>
        <w:t>(共</w:t>
      </w:r>
      <w:r>
        <w:rPr>
          <w:rFonts w:hint="eastAsia" w:ascii="仿宋_GB2312" w:hAnsi="仿宋_GB2312" w:eastAsia="仿宋_GB2312" w:cs="仿宋_GB2312"/>
          <w:b w:val="0"/>
          <w:sz w:val="32"/>
          <w:szCs w:val="32"/>
          <w:lang w:val="en-US" w:eastAsia="zh-CN"/>
        </w:rPr>
        <w:t>10</w:t>
      </w:r>
      <w:r>
        <w:rPr>
          <w:rFonts w:hint="eastAsia" w:ascii="仿宋_GB2312" w:hAnsi="仿宋_GB2312" w:eastAsia="仿宋_GB2312" w:cs="仿宋_GB2312"/>
          <w:b w:val="0"/>
          <w:sz w:val="32"/>
          <w:szCs w:val="32"/>
          <w:lang w:val="en-US" w:eastAsia="zh-CN"/>
        </w:rPr>
        <w:t>名)</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办理类型：</w:t>
      </w:r>
      <w:r>
        <w:rPr>
          <w:rFonts w:hint="eastAsia" w:ascii="仿宋_GB2312" w:hAnsi="仿宋_GB2312" w:eastAsia="仿宋_GB2312" w:cs="仿宋_GB2312"/>
          <w:b w:val="0"/>
          <w:sz w:val="32"/>
          <w:szCs w:val="32"/>
          <w:lang w:val="en-US" w:eastAsia="zh-CN"/>
        </w:rPr>
        <w:t>分办</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承办单位：</w:t>
      </w:r>
      <w:r>
        <w:rPr>
          <w:rFonts w:hint="eastAsia" w:ascii="仿宋_GB2312" w:hAnsi="仿宋_GB2312" w:eastAsia="仿宋_GB2312" w:cs="仿宋_GB2312"/>
          <w:b w:val="0"/>
          <w:sz w:val="32"/>
          <w:szCs w:val="32"/>
          <w:lang w:val="en-US" w:eastAsia="zh-CN"/>
        </w:rPr>
        <w:t>市公安局,市市场监督管理局,市交通运输局,深圳市残疾人联合会</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内    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一、案由 </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深圳经济特区道路交通安全管理条例》第三十六条规定电动自行车、自行车等非机动车上道路行驶时不得超过法律、法规规定的最高时速，不得违反规定载人、载物。但为图一时便捷，不少居民搭乘非法营运摩电（下文简称“黑摩”），完全不顾因此产生的恶劣后果。以龙华区某街道为例，2022年道路交通事故警情20533宗，其中涉及“黑摩”3537宗占比17.22%，相当于每十宗道路事故警情就有一到两宗涉及“黑摩”；辖区总共5起亡人事故，就有2宗是涉“黑摩”亡人事故。因此急需加大对“黑摩”的打击力度，尤其是对于成行成市有组织的非法营运团体，公安部门要加大惩戒处罚力度。</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是安全性差，侵犯乘客的合法权益。“黑摩”安全性能得不到保障，为降低营运成本或图方便，“黑摩”多为改装、拼装的超标或残破电动车辆。骑手普遍安全意识薄弱，随意走机动车道、变更车道、抢道、横穿马路，一旦发生服务纠纷或交通事故，乘客投诉无门，其合法权益甚至生命安全得不到保障。</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是造成不公平的市场竞争秩序。因其运营成本低廉，侵害了合法经营者的合法权益，扰乱了客运市场正常的经营秩序，抢夺市场份额，对合法经营者造成极大的冲击，合法从业人员对此反响极大，是行业不稳定的重大隐患，造成“劣币”驱逐“良币”的不公平竞争市场环境，长此以往危害很大。</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三是不符合城市发展的要求。</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四是“黑摩”为能获取更多的利益，超速、闯红灯、溢出安全岛范围等现象屡见不鲜。另外加装遮阳蓬，大量聚集在公交站台、地铁口、路口等交通要道拉客的情况已严重影响我市改革开放的形象和城市的发展，是城市的“视觉污染”。</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执法难度大</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五是“黑摩”骑手群体数量多，还有残疾人、带菌者，交警和公安执法阻力很大。首先“黑摩”多为改装车，且骑手全然不顾后果，车速快，执法过程中曾发生暴力冲卡、加速逃逸等恶劣行为，交警部门不敢截停。其次“黑摩”依仗其群体流动性大，与交警部门躲猫猫、打游击，执法行动不能全域同时展开且持续。</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二、建议 </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是交警和公安部门调整警力专项集中打击，顶格处罚2000元罚款（根据《深圳经济特区道路交通安全管理条例》，违反第三十六条第四款规定，驾驶电动自行车载人、载物的，由市公安机关交通管理部门扣留车辆，并处二千元罚款）。对阻扰执法和暴力抗法的顽固分子，该刑拘的要刑拘。如有造成较大事故或恶劣影响的，必须追究刑事责任。</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二是市监部门加大对改装门店的查处力度，重点查处调速、增加电瓶容量、加宽加长车身等问题，所有加改装车辆必须销毁，不得重新入市。 </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三是宣传部门引导舆论，特别是以跳楼跳桥、上访等行为要挟政府为其非法营运开绿灯的行为，一定要顶住压力、引导舆论公正立场。 </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四是民政部门加强对残疾人群体的帮扶纾困力度，加强职业技能培训，引导他们另谋生路，找一份安全稳定的工作。</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五是交通运管部门要加大公共交通的覆盖力度，优化公交线路。特别是龙华大浪街道，应大力发展短途小巴，方便市民出行。</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left"/>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6917"/>
    <w:rsid w:val="03FA7913"/>
    <w:rsid w:val="08AD0527"/>
    <w:rsid w:val="0CA81750"/>
    <w:rsid w:val="104457BF"/>
    <w:rsid w:val="142D5EF2"/>
    <w:rsid w:val="1A8370F8"/>
    <w:rsid w:val="1C52129C"/>
    <w:rsid w:val="1D7E45BC"/>
    <w:rsid w:val="1E4C6E49"/>
    <w:rsid w:val="1F7774AB"/>
    <w:rsid w:val="23B47B07"/>
    <w:rsid w:val="28F64EC4"/>
    <w:rsid w:val="2A5B2BC4"/>
    <w:rsid w:val="2AC820BB"/>
    <w:rsid w:val="2DAC5DFC"/>
    <w:rsid w:val="353A69D5"/>
    <w:rsid w:val="35507787"/>
    <w:rsid w:val="36ED4BEC"/>
    <w:rsid w:val="3A1A2BE3"/>
    <w:rsid w:val="49FA03AF"/>
    <w:rsid w:val="4F955F9D"/>
    <w:rsid w:val="526966EA"/>
    <w:rsid w:val="56D80994"/>
    <w:rsid w:val="574C0B47"/>
    <w:rsid w:val="581F309E"/>
    <w:rsid w:val="5F693127"/>
    <w:rsid w:val="66135703"/>
    <w:rsid w:val="6C5816D0"/>
    <w:rsid w:val="6E9C1746"/>
    <w:rsid w:val="70F449E4"/>
    <w:rsid w:val="713C1E52"/>
    <w:rsid w:val="731474DA"/>
    <w:rsid w:val="732C1598"/>
    <w:rsid w:val="73735F79"/>
    <w:rsid w:val="79DA1477"/>
    <w:rsid w:val="7A075E2D"/>
    <w:rsid w:val="7E2F2A5C"/>
    <w:rsid w:val="7F9F3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limjeon</dc:creator>
  <cp:lastModifiedBy>不如吃茶去</cp:lastModifiedBy>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541166959B6841688F680FB6A261768C</vt:lpwstr>
  </property>
</Properties>
</file>