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bCs/>
          <w:sz w:val="32"/>
          <w:lang w:val="en-US" w:eastAsia="zh-CN"/>
        </w:rPr>
        <w:t>密级：</w:t>
      </w:r>
      <w:r>
        <w:rPr>
          <w:rFonts w:hint="eastAsia" w:ascii="仿宋_GB2312" w:hAnsi="仿宋_GB2312" w:eastAsia="仿宋_GB2312" w:cs="仿宋_GB2312"/>
          <w:b w:val="0"/>
          <w:sz w:val="32"/>
          <w:szCs w:val="32"/>
          <w:lang w:val="en-US" w:eastAsia="zh-CN"/>
        </w:rPr>
        <w:t>公开</w:t>
      </w:r>
    </w:p>
    <w:p>
      <w:pPr>
        <w:spacing w:line="240" w:lineRule="auto"/>
        <w:rPr>
          <w:rFonts w:hint="eastAsia" w:ascii="仿宋_GB2312" w:hAnsi="仿宋_GB2312" w:eastAsia="仿宋_GB2312" w:cs="仿宋_GB2312"/>
          <w:b w:val="0"/>
          <w:sz w:val="32"/>
          <w:lang w:eastAsia="zh-CN"/>
        </w:rPr>
      </w:pPr>
      <w:bookmarkStart w:id="0" w:name="_GoBack"/>
      <w:bookmarkEnd w:id="0"/>
    </w:p>
    <w:p>
      <w:pPr>
        <w:spacing w:line="240" w:lineRule="auto"/>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szCs w:val="32"/>
          <w:lang w:val="en-US" w:eastAsia="zh-CN"/>
        </w:rPr>
        <w:t>建议</w:t>
      </w:r>
      <w:r>
        <w:rPr>
          <w:rFonts w:hint="eastAsia" w:ascii="仿宋_GB2312" w:hAnsi="仿宋_GB2312" w:eastAsia="仿宋_GB2312" w:cs="仿宋_GB2312"/>
          <w:b w:val="0"/>
          <w:sz w:val="32"/>
          <w:lang w:eastAsia="zh-CN"/>
        </w:rPr>
        <w:t>第</w:t>
      </w:r>
      <w:r>
        <w:rPr>
          <w:rFonts w:hint="eastAsia" w:ascii="仿宋_GB2312" w:hAnsi="仿宋_GB2312" w:eastAsia="仿宋_GB2312" w:cs="仿宋_GB2312"/>
          <w:b w:val="0"/>
          <w:sz w:val="28"/>
          <w:lang w:val="en-US" w:eastAsia="zh-CN"/>
        </w:rPr>
        <w:t>20230543</w:t>
      </w:r>
      <w:r>
        <w:rPr>
          <w:rFonts w:hint="eastAsia" w:ascii="仿宋_GB2312" w:hAnsi="仿宋_GB2312" w:eastAsia="仿宋_GB2312" w:cs="仿宋_GB2312"/>
          <w:b w:val="0"/>
          <w:sz w:val="32"/>
          <w:lang w:eastAsia="zh-CN"/>
        </w:rPr>
        <w:t>号</w:t>
      </w:r>
    </w:p>
    <w:p>
      <w:pPr>
        <w:spacing w:line="240" w:lineRule="auto"/>
        <w:ind w:left="1506" w:leftChars="0" w:right="0" w:rightChars="0" w:hanging="1506" w:hangingChars="500"/>
        <w:rPr>
          <w:rFonts w:hint="eastAsia" w:ascii="仿宋_GB2312" w:hAnsi="仿宋_GB2312" w:eastAsia="仿宋_GB2312" w:cs="仿宋_GB2312"/>
          <w:b w:val="0"/>
          <w:sz w:val="30"/>
          <w:szCs w:val="30"/>
          <w:lang w:eastAsia="zh-CN"/>
        </w:rPr>
      </w:pPr>
      <w:r>
        <w:rPr>
          <w:rFonts w:hint="eastAsia" w:ascii="仿宋_GB2312" w:hAnsi="仿宋_GB2312" w:eastAsia="仿宋_GB2312" w:cs="仿宋_GB2312"/>
          <w:b/>
          <w:bCs/>
          <w:sz w:val="30"/>
          <w:szCs w:val="30"/>
          <w:lang w:eastAsia="zh-CN"/>
        </w:rPr>
        <w:t>案    由</w:t>
      </w:r>
      <w:r>
        <w:rPr>
          <w:rFonts w:hint="eastAsia" w:ascii="仿宋_GB2312" w:hAnsi="仿宋_GB2312" w:eastAsia="仿宋_GB2312" w:cs="仿宋_GB2312"/>
          <w:b w:val="0"/>
          <w:sz w:val="30"/>
          <w:szCs w:val="30"/>
          <w:lang w:eastAsia="zh-CN"/>
        </w:rPr>
        <w:t>：</w:t>
      </w:r>
      <w:r>
        <w:rPr>
          <w:rFonts w:hint="eastAsia" w:ascii="仿宋_GB2312" w:hAnsi="仿宋_GB2312" w:eastAsia="仿宋_GB2312" w:cs="仿宋_GB2312"/>
          <w:b w:val="0"/>
          <w:sz w:val="30"/>
          <w:szCs w:val="30"/>
          <w:lang w:val="en-US" w:eastAsia="zh-CN"/>
        </w:rPr>
        <w:t>关于推动支持定期举办《粤港澳大湾区物流产业展》的建议</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提 出 人：</w:t>
      </w:r>
      <w:r>
        <w:rPr>
          <w:rFonts w:hint="eastAsia" w:ascii="仿宋_GB2312" w:hAnsi="仿宋_GB2312" w:eastAsia="仿宋_GB2312" w:cs="仿宋_GB2312"/>
          <w:b w:val="0"/>
          <w:sz w:val="32"/>
          <w:szCs w:val="32"/>
          <w:lang w:val="en-US" w:eastAsia="zh-CN"/>
        </w:rPr>
        <w:t>耿博,王琦,侯鹏,赵鹏</w:t>
      </w:r>
      <w:r>
        <w:rPr>
          <w:rFonts w:hint="eastAsia" w:ascii="仿宋_GB2312" w:hAnsi="仿宋_GB2312" w:eastAsia="仿宋_GB2312" w:cs="仿宋_GB2312"/>
          <w:b w:val="0"/>
          <w:sz w:val="32"/>
          <w:szCs w:val="32"/>
          <w:lang w:val="en-US" w:eastAsia="zh-CN"/>
        </w:rPr>
        <w:t>(共</w:t>
      </w:r>
      <w:r>
        <w:rPr>
          <w:rFonts w:hint="eastAsia" w:ascii="仿宋_GB2312" w:hAnsi="仿宋_GB2312" w:eastAsia="仿宋_GB2312" w:cs="仿宋_GB2312"/>
          <w:b w:val="0"/>
          <w:sz w:val="32"/>
          <w:szCs w:val="32"/>
          <w:lang w:val="en-US" w:eastAsia="zh-CN"/>
        </w:rPr>
        <w:t>4</w:t>
      </w:r>
      <w:r>
        <w:rPr>
          <w:rFonts w:hint="eastAsia" w:ascii="仿宋_GB2312" w:hAnsi="仿宋_GB2312" w:eastAsia="仿宋_GB2312" w:cs="仿宋_GB2312"/>
          <w:b w:val="0"/>
          <w:sz w:val="32"/>
          <w:szCs w:val="32"/>
          <w:lang w:val="en-US" w:eastAsia="zh-CN"/>
        </w:rPr>
        <w:t>名)</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办理类型：</w:t>
      </w:r>
      <w:r>
        <w:rPr>
          <w:rFonts w:hint="eastAsia" w:ascii="仿宋_GB2312" w:hAnsi="仿宋_GB2312" w:eastAsia="仿宋_GB2312" w:cs="仿宋_GB2312"/>
          <w:b w:val="0"/>
          <w:sz w:val="32"/>
          <w:szCs w:val="32"/>
          <w:lang w:val="en-US" w:eastAsia="zh-CN"/>
        </w:rPr>
        <w:t>主汇办</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承办单位：</w:t>
      </w:r>
      <w:r>
        <w:rPr>
          <w:rFonts w:hint="eastAsia" w:ascii="仿宋_GB2312" w:hAnsi="仿宋_GB2312" w:eastAsia="仿宋_GB2312" w:cs="仿宋_GB2312"/>
          <w:b w:val="0"/>
          <w:sz w:val="32"/>
          <w:szCs w:val="32"/>
          <w:lang w:val="en-US" w:eastAsia="zh-CN"/>
        </w:rPr>
        <w:t>市交通运输局(主办),市商务局</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内    容：</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一、事由</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2016年，“粤港澳大湾区”被写入国务院《关于深化泛珠三角区域合作的指导意见》、国家“十三五”规划等，要求建设世界级城市群。2019年2月，中共中央、国务院印发了《粤港澳大湾区规划纲要》，并发出通知要求各地区各部门结合实际认真贯彻执行。</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在此次发布的《规划纲要》中，交通出现30次，物流出现16次，运输出现10次。另外“供应链”“流通”分别出现3次和2次；推动粤港澳大湾区现代物流业发展已然成为《规划纲要》的重要内容。</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加速推进粤港澳现代交通运输体系和物流供应链业态的成熟完善，对推进粤港澳大湾区整体建设十分重要。《规划纲要》指出，加强基础设施建设，畅通对外联系通道，提升内部连通水平，推动形成布局合理、功能完善、衔接顺畅、运作高效的基础设施网络，为粤港澳大湾区经济社会发展提供基础性有力支撑。以香港、澳门、广州、深圳、四大中心城市作为区域发展的核心引擎，继续发挥比较优势做优做强，增强对周边区域发展的辐射带动作用。</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物流供应链是包含陆、海、空、铁、仓、第三方为主要运输服务形式的行业模块组合体，《规划纲要》中对大湾区的海港航运综合布局及配套体系、国际国内机场空港建设、畅通完善大湾区经粤东西北至周边省区的综合运输通道、推进赣州至深圳、广州至汕尾、深圳至茂名、岑溪至罗定等铁路项目建设，加快构建以广州、深圳为枢纽，高速公路、高速铁路和快速铁路等广东出省通道为骨干，连接泛珠三角区域和东盟国家的陆路国际大通道等交通事业都进行了明确阐述和布局。同时对连接内地与港澳以及珠江口东西两岸为重点构建以高速铁路、城际铁路和高等级公路为主体的城际快速交通网络，推进粤港澳物流合作发展，大力发展第三方物流和冷链物流，提高供应链管理水平建设国际物流枢纽，促进人员货物往来便利化，研究制定港澳与内地车辆通行政策等也做了说明和解释。在软环境建设方面，《规划纲要》也对综合物流运输的发展和投资便利化及服务贸易进行了论述。未来港澳资本在大湾区将获得更好的营商环境，将会有越来越多的资本进入到湾区物流供应链领域，多方位促进该区域的竞争与合作。一方面，香港的先进物流模式和经验将进入到大湾区，内地物流供应链企业将在压力中寻求更好的发展。另一方面，有利于内资与外资的合作便利化，有助于内地、香港、澳门、三地物流企业的深度合作，激发各自优势，提升我国物流供应链企业在国际上的竞争力。</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二、作用意义</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大湾区战略规划出台并进入实施阶段后，大物流产业也必将进入一个新时代。从宏观来看，物流产业与其密切相连的物流装备、物流设备、物流设施、物流技术等产业都有高度依赖和共生性。现代物流服务业的健康发展将极大地服务于实体制造业。以载货汽车为例，2019年货车产销分别完成388﹒8万辆和385万辆。这些总价值近万亿的商用车在产业链上也带动了相关行业的生存发展。就物流产业硬件来讲，货运车辆、仓储机械设备、港口机场机械装备、新旧能源燃料油料、自动分拣输送系统、自动装卸系统、自动化仓库等都是物流产业不可或缺的硬体硬件。而在软体方面，物流信息技术、物流供应链管理科技应用技术、供应链金融、保险租赁、物流人才教育培训等也都是构成现代物流血肉之躯重要成份.在此基础上和情况下,积极推动各种物流供应链产业展览及交流会议就显得尤为必要。</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新投资兴建的深圳国际会展中心在2016年奠基后，一期工程已经于2019年9月全面建成并投入使用。该项目是深圳市政府投资建设的重大经济文化工程，是集展览、会议、文体活动赛事、餐饮、购物、办公、服务于一体的超大型会展综合体。会展中心一期建筑面积160﹒5万平方米，展厅数量19个。该会展中心的落成，彻底改变了多年来深圳市会展场所严重短缺不足的局面，但会展中心能否尽快尽善被充分利用，由其发挥应有作用也是需要认真面对的课题。会展文化及会展产业对一个现代化都市的重要性已是不言而喻，众所周知的广交会几乎就是我国改革开放的标志性舞台。随着粤港澳大湾区和社会主义先行示范区波澜壮阔的推进发展，深圳的会展产业和会展经济一定会为双区建设贡献自己的非凡力量。</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三、建议</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三年疫情对实体物流和会展产业造成了巨大影响，进入2023年，上至中央下至地方，政府已经非常明确把振兴经济促进产业健康快速发展当做首要工作。在此背景下，物流业作为深圳市的支柱产业之一，非常有限的与物流业相关联的专业性展会已经完全不能充分地承担大湾区物流产业持续繁荣昌盛使命的重任。在新时期、新形势、新使命的发展机遇阶段，既为服务于粤港澳大湾区的整体建设，更着眼于深圳社会主义先行示范区的创建事业.建议政府相关部门尽快出台政策，支持推进定期举办《粤港澳大湾区物流产业展会》的落地和运行。</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left"/>
        <w:textAlignment w:val="auto"/>
        <w:outlineLvl w:val="9"/>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26917"/>
    <w:rsid w:val="03FA7913"/>
    <w:rsid w:val="08AD0527"/>
    <w:rsid w:val="0CA81750"/>
    <w:rsid w:val="104457BF"/>
    <w:rsid w:val="142D5EF2"/>
    <w:rsid w:val="1A8370F8"/>
    <w:rsid w:val="1C52129C"/>
    <w:rsid w:val="1D7E45BC"/>
    <w:rsid w:val="1E4C6E49"/>
    <w:rsid w:val="1F7774AB"/>
    <w:rsid w:val="23B47B07"/>
    <w:rsid w:val="28F64EC4"/>
    <w:rsid w:val="2A5B2BC4"/>
    <w:rsid w:val="2AC820BB"/>
    <w:rsid w:val="2DAC5DFC"/>
    <w:rsid w:val="353A69D5"/>
    <w:rsid w:val="35507787"/>
    <w:rsid w:val="36ED4BEC"/>
    <w:rsid w:val="3A1A2BE3"/>
    <w:rsid w:val="49FA03AF"/>
    <w:rsid w:val="4F955F9D"/>
    <w:rsid w:val="526966EA"/>
    <w:rsid w:val="56D80994"/>
    <w:rsid w:val="574C0B47"/>
    <w:rsid w:val="581F309E"/>
    <w:rsid w:val="5F693127"/>
    <w:rsid w:val="66135703"/>
    <w:rsid w:val="6C5816D0"/>
    <w:rsid w:val="6E9C1746"/>
    <w:rsid w:val="70F449E4"/>
    <w:rsid w:val="713C1E52"/>
    <w:rsid w:val="731474DA"/>
    <w:rsid w:val="732C1598"/>
    <w:rsid w:val="73735F79"/>
    <w:rsid w:val="79DA1477"/>
    <w:rsid w:val="7A075E2D"/>
    <w:rsid w:val="7E2F2A5C"/>
    <w:rsid w:val="7F9F38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limjeon</dc:creator>
  <cp:lastModifiedBy>不如吃茶去</cp:lastModifiedBy>
  <dcterms:modified xsi:type="dcterms:W3CDTF">2021-08-23T03:26:00Z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541166959B6841688F680FB6A261768C</vt:lpwstr>
  </property>
</Properties>
</file>