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bCs/>
          <w:sz w:val="32"/>
          <w:lang w:val="en-US" w:eastAsia="zh-CN"/>
        </w:rPr>
        <w:t>密级：</w:t>
      </w:r>
      <w:r>
        <w:rPr>
          <w:rFonts w:hint="eastAsia" w:ascii="仿宋_GB2312" w:hAnsi="仿宋_GB2312" w:eastAsia="仿宋_GB2312" w:cs="仿宋_GB2312"/>
          <w:b w:val="0"/>
          <w:sz w:val="32"/>
          <w:szCs w:val="32"/>
          <w:lang w:val="en-US" w:eastAsia="zh-CN"/>
        </w:rPr>
        <w:t>公开</w:t>
      </w:r>
    </w:p>
    <w:p>
      <w:pPr>
        <w:spacing w:line="240" w:lineRule="auto"/>
        <w:rPr>
          <w:rFonts w:hint="eastAsia" w:ascii="仿宋_GB2312" w:hAnsi="仿宋_GB2312" w:eastAsia="仿宋_GB2312" w:cs="仿宋_GB2312"/>
          <w:b w:val="0"/>
          <w:sz w:val="32"/>
          <w:lang w:eastAsia="zh-CN"/>
        </w:rPr>
      </w:pPr>
      <w:bookmarkStart w:id="0" w:name="_GoBack"/>
      <w:bookmarkEnd w:id="0"/>
    </w:p>
    <w:p>
      <w:pPr>
        <w:spacing w:line="240" w:lineRule="auto"/>
        <w:rPr>
          <w:rFonts w:hint="eastAsia" w:ascii="仿宋_GB2312" w:hAnsi="仿宋_GB2312" w:eastAsia="仿宋_GB2312" w:cs="仿宋_GB2312"/>
          <w:b w:val="0"/>
          <w:sz w:val="32"/>
          <w:lang w:eastAsia="zh-CN"/>
        </w:rPr>
      </w:pPr>
      <w:r>
        <w:rPr>
          <w:rFonts w:hint="eastAsia" w:ascii="仿宋_GB2312" w:hAnsi="仿宋_GB2312" w:eastAsia="仿宋_GB2312" w:cs="仿宋_GB2312"/>
          <w:b w:val="0"/>
          <w:sz w:val="32"/>
          <w:szCs w:val="32"/>
          <w:lang w:val="en-US" w:eastAsia="zh-CN"/>
        </w:rPr>
        <w:t>建议</w:t>
      </w:r>
      <w:r>
        <w:rPr>
          <w:rFonts w:hint="eastAsia" w:ascii="仿宋_GB2312" w:hAnsi="仿宋_GB2312" w:eastAsia="仿宋_GB2312" w:cs="仿宋_GB2312"/>
          <w:b w:val="0"/>
          <w:sz w:val="32"/>
          <w:lang w:eastAsia="zh-CN"/>
        </w:rPr>
        <w:t>第</w:t>
      </w:r>
      <w:r>
        <w:rPr>
          <w:rFonts w:hint="eastAsia" w:ascii="仿宋_GB2312" w:hAnsi="仿宋_GB2312" w:eastAsia="仿宋_GB2312" w:cs="仿宋_GB2312"/>
          <w:b w:val="0"/>
          <w:sz w:val="28"/>
          <w:lang w:val="en-US" w:eastAsia="zh-CN"/>
        </w:rPr>
        <w:t>20230553</w:t>
      </w:r>
      <w:r>
        <w:rPr>
          <w:rFonts w:hint="eastAsia" w:ascii="仿宋_GB2312" w:hAnsi="仿宋_GB2312" w:eastAsia="仿宋_GB2312" w:cs="仿宋_GB2312"/>
          <w:b w:val="0"/>
          <w:sz w:val="32"/>
          <w:lang w:eastAsia="zh-CN"/>
        </w:rPr>
        <w:t>号</w:t>
      </w:r>
    </w:p>
    <w:p>
      <w:pPr>
        <w:spacing w:line="240" w:lineRule="auto"/>
        <w:ind w:left="1506" w:leftChars="0" w:right="0" w:rightChars="0" w:hanging="1506" w:hangingChars="500"/>
        <w:rPr>
          <w:rFonts w:hint="eastAsia" w:ascii="仿宋_GB2312" w:hAnsi="仿宋_GB2312" w:eastAsia="仿宋_GB2312" w:cs="仿宋_GB2312"/>
          <w:b w:val="0"/>
          <w:sz w:val="30"/>
          <w:szCs w:val="30"/>
          <w:lang w:eastAsia="zh-CN"/>
        </w:rPr>
      </w:pPr>
      <w:r>
        <w:rPr>
          <w:rFonts w:hint="eastAsia" w:ascii="仿宋_GB2312" w:hAnsi="仿宋_GB2312" w:eastAsia="仿宋_GB2312" w:cs="仿宋_GB2312"/>
          <w:b/>
          <w:bCs/>
          <w:sz w:val="30"/>
          <w:szCs w:val="30"/>
          <w:lang w:eastAsia="zh-CN"/>
        </w:rPr>
        <w:t>案    由</w:t>
      </w:r>
      <w:r>
        <w:rPr>
          <w:rFonts w:hint="eastAsia" w:ascii="仿宋_GB2312" w:hAnsi="仿宋_GB2312" w:eastAsia="仿宋_GB2312" w:cs="仿宋_GB2312"/>
          <w:b w:val="0"/>
          <w:sz w:val="30"/>
          <w:szCs w:val="30"/>
          <w:lang w:eastAsia="zh-CN"/>
        </w:rPr>
        <w:t>：</w:t>
      </w:r>
      <w:r>
        <w:rPr>
          <w:rFonts w:hint="eastAsia" w:ascii="仿宋_GB2312" w:hAnsi="仿宋_GB2312" w:eastAsia="仿宋_GB2312" w:cs="仿宋_GB2312"/>
          <w:b w:val="0"/>
          <w:sz w:val="30"/>
          <w:szCs w:val="30"/>
          <w:lang w:val="en-US" w:eastAsia="zh-CN"/>
        </w:rPr>
        <w:t>关于加快推进重大通道建设，提升观澜高新园区对外出行能力的建议</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提 出 人：</w:t>
      </w:r>
      <w:r>
        <w:rPr>
          <w:rFonts w:hint="eastAsia" w:ascii="仿宋_GB2312" w:hAnsi="仿宋_GB2312" w:eastAsia="仿宋_GB2312" w:cs="仿宋_GB2312"/>
          <w:b w:val="0"/>
          <w:sz w:val="32"/>
          <w:szCs w:val="32"/>
          <w:lang w:val="en-US" w:eastAsia="zh-CN"/>
        </w:rPr>
        <w:t>朱闻博,龙玉峰,卢创坤,明亮,刘湘江,付作军</w:t>
      </w:r>
      <w:r>
        <w:rPr>
          <w:rFonts w:hint="eastAsia" w:ascii="仿宋_GB2312" w:hAnsi="仿宋_GB2312" w:eastAsia="仿宋_GB2312" w:cs="仿宋_GB2312"/>
          <w:b w:val="0"/>
          <w:sz w:val="32"/>
          <w:szCs w:val="32"/>
          <w:lang w:val="en-US" w:eastAsia="zh-CN"/>
        </w:rPr>
        <w:t>(共</w:t>
      </w:r>
      <w:r>
        <w:rPr>
          <w:rFonts w:hint="eastAsia" w:ascii="仿宋_GB2312" w:hAnsi="仿宋_GB2312" w:eastAsia="仿宋_GB2312" w:cs="仿宋_GB2312"/>
          <w:b w:val="0"/>
          <w:sz w:val="32"/>
          <w:szCs w:val="32"/>
          <w:lang w:val="en-US" w:eastAsia="zh-CN"/>
        </w:rPr>
        <w:t>6</w:t>
      </w:r>
      <w:r>
        <w:rPr>
          <w:rFonts w:hint="eastAsia" w:ascii="仿宋_GB2312" w:hAnsi="仿宋_GB2312" w:eastAsia="仿宋_GB2312" w:cs="仿宋_GB2312"/>
          <w:b w:val="0"/>
          <w:sz w:val="32"/>
          <w:szCs w:val="32"/>
          <w:lang w:val="en-US" w:eastAsia="zh-CN"/>
        </w:rPr>
        <w:t>名)</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办理类型：</w:t>
      </w:r>
      <w:r>
        <w:rPr>
          <w:rFonts w:hint="eastAsia" w:ascii="仿宋_GB2312" w:hAnsi="仿宋_GB2312" w:eastAsia="仿宋_GB2312" w:cs="仿宋_GB2312"/>
          <w:b w:val="0"/>
          <w:sz w:val="32"/>
          <w:szCs w:val="32"/>
          <w:lang w:val="en-US" w:eastAsia="zh-CN"/>
        </w:rPr>
        <w:t>主汇办</w:t>
      </w:r>
    </w:p>
    <w:p>
      <w:pPr>
        <w:spacing w:line="240" w:lineRule="auto"/>
        <w:ind w:left="1606" w:leftChars="0" w:right="0" w:rightChars="0" w:hanging="1606" w:hangingChars="50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承办单位：</w:t>
      </w:r>
      <w:r>
        <w:rPr>
          <w:rFonts w:hint="eastAsia" w:ascii="仿宋_GB2312" w:hAnsi="仿宋_GB2312" w:eastAsia="仿宋_GB2312" w:cs="仿宋_GB2312"/>
          <w:b w:val="0"/>
          <w:sz w:val="32"/>
          <w:szCs w:val="32"/>
          <w:lang w:val="en-US" w:eastAsia="zh-CN"/>
        </w:rPr>
        <w:t>市交通运输局(主办),市发展和改革委员会,市规划和自然资源局</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bCs/>
          <w:sz w:val="32"/>
          <w:szCs w:val="32"/>
          <w:lang w:eastAsia="zh-CN"/>
        </w:rPr>
        <w:t>内    容：</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一、案由</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观澜高新技术产业园（以下简称：“观澜高新园”）位于“梅观创新科技走廊”的核心地带，由梅观高速、机荷高速、环观南路、坂澜大道围合，是龙华区重点打造的“一中轴六片区”之一，是以新一代信息技术、生命科学及健康、新材料新能源、先进制造业、智能硬件等领域为主的高新技术产业和先进工业的特色园区。</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观澜高新园于2002年动工，2011年基本建成，2019年4月正式纳入国家高新区范围，成为深圳七大国家高新技术产业园之一，亦为广深港澳创新走廊的主要创新节点和产业高端化发展的重要基地。2017年8月，被市政府授予未来7大产业集聚区荣誉，园区规划面积4.23平方公里，隶属龙华区鹭湖中心城南部核心区域，属区级六大重点片区之一，国土空间规划最新定位已从“功能节点”上升为“市级功能中心”。片区发展定位突出“行政+科技+文化”综合服务功能，依托核心区公共服务设施及自然生态资源，打造环鹭湖高新产业带和智能制造产业集聚区，形成生产、生活、生态“三生融合”未来中心城区，全面落实“数字龙华，都市核心”发展理念，建设公共服务数字体验示范区，成为辐射深莞集合城市的北部地区新中心。</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截止2021年底，总入园企业3136家（不含个体工商户），其中上市公司13家（含新三板、新四板），集聚国高企业85家，规模以上企业111家，企业总占地面积82.79万平方米，建筑面积161.23万平方米，企业投资总额约250亿元。已入驻的大型企业（园区）如华润三九医药工业园（科创园）、三一云都、捷顺科技中心、龙华区激光产业基地、科姆龙科技园、汇川技术、英飞拓、宝德科技、日海通讯、泰豪科技、多彩科创园、国药致君、博纳精密、翰宇药业、金美威工业园、润天智数字设备、龙华建设发展、杰普特光电、特尔佳科技、联嘉祥、嘉泉水处理等，形成了以生物医药、智能装备制造、新一代信息技术等为主体的产业集群。</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近年来，观澜高新园入驻企业（园区）、学校（龙华外国语学校）、大型楼盘社区（富士嘉园、科苑观澜、龙馨家园、鹏瑞颐璟府等）等不断增加，片区覆盖企业员工、居民、流动人口总数近20万人，交通负荷进一步加重。原有区域道路建设虽不断规划和翻新建设，但长期占道施工、违停、乱倒渣土等问题频出，园区道路交通环境依然尚未得到有效改善。观澜高新园片区上下梅观或机荷高速均须绕行石清大道、五和大道，绕行距离3-4公里，对外快速出行极为不便，难以满足园区日益增长的出行需求，因此，园区依托梅观、机荷高速的对外快速集散需求日益强烈。目前市交通运输局等各政府部门正积极推动梅观高速（清湖立交至观澜主线收费站）市政化改造、机荷高速-坂澜大道收费站工程，但仍需进一步加快解决以下问题：</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（一）关于梅观高速公路（清湖立交至观澜主线收费站）市政化改造工程推进问题</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为进一步提升龙华区北部片区对外出行能力，市交通运输局正在开展梅观高速公路（清湖立交至观澜主线收费站）市政化改造工程前期工作，但前期工作涉及事项较多，开工时间具有一定不确定性，且建设周期较长，短期内难以有效提升观澜高新园对外连通能力。</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（二）关于沈海高速与坂澜大道交汇处的高速路口开通问题</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机荷高速-坂澜大道立交及出入口工程（包含收费站）于2017年4月完工验收，但因项目为深圳市政府立项投资建设项目，未经省发展改革委立项（核准），缺乏审批收费许可的前置条件，目前坂澜收费站无法开通运营。</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二、建议</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结合观澜高新园区和鹭湖中心城片区对外出行需求及工程项目实际，提出以下工作建议：</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（一）建议市级各审批部门积极主动服务优先推进</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目前梅观高速公路（清湖立交至观澜主线收费站）市政化改造工程正在开展选址工作，后续还需开展工可申报、初步设计及概算申报等审批工作，事项多、周期长，建议市发展和改革委员会、市规划和自然资源局等审批部门主动服务，优先推进梅观高速（清湖立交至观澜主线收费站）市政化改造工程审批，提升审批工作效率，压缩审批时间。</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（二）建议进一步压缩梅观高速市政化工程前期工作时间</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梅观高速作为观澜高新园区和鹭湖中心城片区的重要战略通道，也是龙华城市中轴及梅观科技创新走廊的重要支撑，尽早投入使用将会极大改善沿线片区交通环境，提升龙华区位优势。建议市交通运输局提前开展梅观项目深化设计工作，压缩初步设计、施工图设计等文件编制，加快项目前期工作，确保2023年底前正式动工。</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（三）建议分标段实施环观南路接入梅观高速的立交节点</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为尽快解决观澜高新园区和鹭湖中心城片区对外交通联系不畅的问题，建议市交通运输局将环观南路接入梅观高速的立交节点作为独立标段先行建设，并提前开展监理、工程施工招标工作，请市住房和建设局予以支持。力争2年内解决观澜高新园区上下高速问题，缓解园区企业及居民对外快速通达的急迫需求。</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（四）建议协调推动坂澜收费站开通使用</w:t>
      </w:r>
    </w:p>
    <w:p>
      <w:pPr>
        <w:spacing w:line="240" w:lineRule="auto"/>
        <w:ind w:left="0" w:leftChars="0" w:right="0" w:rightChars="0" w:firstLine="0" w:firstLineChars="0"/>
        <w:rPr>
          <w:rFonts w:hint="eastAsia" w:ascii="仿宋_GB2312" w:hAnsi="仿宋_GB2312" w:eastAsia="仿宋_GB2312" w:cs="仿宋_GB2312"/>
          <w:b w:val="0"/>
          <w:sz w:val="32"/>
          <w:szCs w:val="32"/>
          <w:lang w:eastAsia="zh-CN"/>
        </w:rPr>
      </w:pPr>
      <w:r>
        <w:rPr>
          <w:rFonts w:hint="eastAsia" w:ascii="仿宋_GB2312" w:hAnsi="仿宋_GB2312" w:eastAsia="仿宋_GB2312" w:cs="仿宋_GB2312"/>
          <w:b w:val="0"/>
          <w:sz w:val="32"/>
          <w:szCs w:val="32"/>
          <w:lang w:val="en-US" w:eastAsia="zh-CN"/>
        </w:rPr>
        <w:t xml:space="preserve">    关于坂澜收费站开通事宜，考虑到机荷高速改扩建工程包含了坂澜大道-机荷高速立交段，建议市交通运输局协调相关单位，将坂澜收费站纳入机荷高速改扩建工程中一并进行工可及项目核准报批，并协调深高速公司加快项目报批及建设，尽早开通机荷高速与坂澜大道交汇处的高速路口。</w:t>
      </w:r>
    </w:p>
    <w:p>
      <w:pPr>
        <w:keepNext w:val="0"/>
        <w:keepLines w:val="0"/>
        <w:pageBreakBefore w:val="0"/>
        <w:widowControl w:val="0"/>
        <w:kinsoku/>
        <w:wordWrap/>
        <w:overflowPunct/>
        <w:topLinePunct w:val="0"/>
        <w:autoSpaceDE/>
        <w:autoSpaceDN/>
        <w:bidi w:val="0"/>
        <w:adjustRightInd/>
        <w:snapToGrid/>
        <w:spacing w:line="300" w:lineRule="auto"/>
        <w:ind w:left="0" w:leftChars="0" w:right="0" w:rightChars="0" w:firstLine="0" w:firstLineChars="0"/>
        <w:jc w:val="left"/>
        <w:textAlignment w:val="auto"/>
        <w:outlineLvl w:val="9"/>
        <w:rPr>
          <w:rFonts w:hint="eastAsia" w:ascii="仿宋" w:hAnsi="仿宋" w:eastAsia="仿宋" w:cs="仿宋"/>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A26917"/>
    <w:rsid w:val="03FA7913"/>
    <w:rsid w:val="08AD0527"/>
    <w:rsid w:val="0CA81750"/>
    <w:rsid w:val="104457BF"/>
    <w:rsid w:val="142D5EF2"/>
    <w:rsid w:val="1A8370F8"/>
    <w:rsid w:val="1C52129C"/>
    <w:rsid w:val="1D7E45BC"/>
    <w:rsid w:val="1E4C6E49"/>
    <w:rsid w:val="1F7774AB"/>
    <w:rsid w:val="23B47B07"/>
    <w:rsid w:val="28F64EC4"/>
    <w:rsid w:val="2A5B2BC4"/>
    <w:rsid w:val="2AC820BB"/>
    <w:rsid w:val="2DAC5DFC"/>
    <w:rsid w:val="353A69D5"/>
    <w:rsid w:val="35507787"/>
    <w:rsid w:val="36ED4BEC"/>
    <w:rsid w:val="3A1A2BE3"/>
    <w:rsid w:val="49FA03AF"/>
    <w:rsid w:val="4F955F9D"/>
    <w:rsid w:val="526966EA"/>
    <w:rsid w:val="56D80994"/>
    <w:rsid w:val="574C0B47"/>
    <w:rsid w:val="581F309E"/>
    <w:rsid w:val="5F693127"/>
    <w:rsid w:val="66135703"/>
    <w:rsid w:val="6C5816D0"/>
    <w:rsid w:val="6E9C1746"/>
    <w:rsid w:val="70F449E4"/>
    <w:rsid w:val="713C1E52"/>
    <w:rsid w:val="731474DA"/>
    <w:rsid w:val="732C1598"/>
    <w:rsid w:val="73735F79"/>
    <w:rsid w:val="79DA1477"/>
    <w:rsid w:val="7A075E2D"/>
    <w:rsid w:val="7E2F2A5C"/>
    <w:rsid w:val="7F9F389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limjeon</dc:creator>
  <cp:lastModifiedBy>不如吃茶去</cp:lastModifiedBy>
  <dcterms:modified xsi:type="dcterms:W3CDTF">2021-08-23T03:26:00Z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541166959B6841688F680FB6A261768C</vt:lpwstr>
  </property>
</Properties>
</file>