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pgNumType w:fmt="decimal" w:start="1"/>
      <w:cols w:space="425" w:num="1"/>
      <w:docGrid w:type="lines" w:linePitch="312" w:charSpace="0"/>
    </w:sectPr>
    <w:tbl>
      <w:tblPr>
        <w:tblStyle w:val="TableGrid"/>
        <w:tblW w:w="8222" w:type="dxa"/>
        <w:tblInd w:w="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78"/>
        <w:gridCol w:w="1693"/>
        <w:gridCol w:w="58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34" w:hRule="atLeast"/>
        </w:trPr>
        <w:tc>
          <w:tcPr>
            <w:tcW w:w="678" w:type="dxa"/>
          </w:tcPr>
          <w:p>
            <w:pPr>
              <w:keepNext w:val="0"/>
              <w:keepLines w:val="0"/>
              <w:pageBreakBefore w:val="0"/>
              <w:widowControl w:val="0"/>
              <w:kinsoku/>
              <w:wordWrap/>
              <w:overflowPunct/>
              <w:topLinePunct w:val="0"/>
              <w:autoSpaceDE/>
              <w:autoSpaceDN/>
              <w:bidi w:val="0"/>
              <w:adjustRightInd/>
              <w:snapToGrid/>
              <w:spacing w:line="480" w:lineRule="auto"/>
              <w:ind w:left="0"/>
              <w:jc w:val="center"/>
              <w:textAlignment w:val="auto"/>
              <w:rPr>
                <w:rFonts w:hint="eastAsia" w:eastAsia="华文仿宋"/>
                <w:color w:val="000000" w:themeColor="text1"/>
                <w:sz w:val="32"/>
                <w:szCs w:val="32"/>
                <w:lang w:val="en-US" w:eastAsia="zh-CN"/>
                <w14:textFill>
                  <w14:solidFill>
                    <w14:schemeClr w14:val="tx1"/>
                  </w14:solidFill>
                </w14:textFill>
              </w:rPr>
            </w:pPr>
            <w:r>
              <w:rPr>
                <w:rFonts w:hint="eastAsia" w:ascii="Times New Roman" w:eastAsia="华文仿宋"/>
                <w:color w:val="000000" w:themeColor="text1"/>
                <w:sz w:val="32"/>
                <w:szCs w:val="32"/>
                <w:lang w:val="en-US" w:eastAsia="zh-CN"/>
                <w14:textFill>
                  <w14:solidFill>
                    <w14:schemeClr w14:val="tx1"/>
                  </w14:solidFill>
                </w14:textFill>
              </w:rPr>
              <w:t>3</w:t>
            </w:r>
          </w:p>
        </w:tc>
        <w:tc>
          <w:tcPr>
            <w:tcW w:w="7516" w:type="dxa"/>
            <w:gridSpan w:val="2"/>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eastAsiaTheme="minorEastAsia"/>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关于缓高峰解长龙，红灯可右转车道宜扩容的提案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8" w:hRule="atLeast"/>
        </w:trPr>
        <w:tc>
          <w:tcPr>
            <w:tcW w:w="678" w:type="dxa"/>
          </w:tcPr>
          <w:p>
            <w:pPr>
              <w:keepNext w:val="0"/>
              <w:keepLines w:val="0"/>
              <w:pageBreakBefore w:val="0"/>
              <w:widowControl w:val="0"/>
              <w:tabs>
                <w:tab w:val="left" w:pos="810"/>
              </w:tabs>
              <w:kinsoku/>
              <w:wordWrap/>
              <w:overflowPunct/>
              <w:topLinePunct w:val="0"/>
              <w:autoSpaceDE/>
              <w:autoSpaceDN/>
              <w:bidi w:val="0"/>
              <w:adjustRightInd/>
              <w:snapToGrid/>
              <w:spacing w:line="560" w:lineRule="exact"/>
              <w:ind w:left="0"/>
              <w:textAlignment w:val="auto"/>
              <w:rPr>
                <w:rFonts w:hint="eastAsia" w:ascii="黑体" w:eastAsia="黑体"/>
                <w:color w:val="000000" w:themeColor="text1"/>
                <w:sz w:val="32"/>
                <w:szCs w:val="32"/>
                <w14:textFill>
                  <w14:solidFill>
                    <w14:schemeClr w14:val="tx1"/>
                  </w14:solidFill>
                </w14:textFill>
              </w:rPr>
            </w:pPr>
          </w:p>
        </w:tc>
        <w:tc>
          <w:tcPr>
            <w:tcW w:w="1693" w:type="dxa"/>
          </w:tcPr>
          <w:p>
            <w:pPr>
              <w:keepNext w:val="0"/>
              <w:keepLines w:val="0"/>
              <w:pageBreakBefore w:val="0"/>
              <w:widowControl w:val="0"/>
              <w:tabs>
                <w:tab w:val="left" w:pos="810"/>
              </w:tabs>
              <w:kinsoku/>
              <w:wordWrap/>
              <w:overflowPunct/>
              <w:topLinePunct w:val="0"/>
              <w:autoSpaceDE/>
              <w:autoSpaceDN/>
              <w:bidi w:val="0"/>
              <w:adjustRightInd/>
              <w:snapToGrid/>
              <w:spacing w:line="560" w:lineRule="exact"/>
              <w:ind w:left="0"/>
              <w:textAlignment w:val="auto"/>
              <w:rPr>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提 出 人：</w:t>
            </w:r>
          </w:p>
        </w:tc>
        <w:tc>
          <w:tcPr>
            <w:tcW w:w="5823" w:type="dxa"/>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谢文浩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678" w:type="dxa"/>
          </w:tcPr>
          <w:p>
            <w:pPr>
              <w:keepNext w:val="0"/>
              <w:keepLines w:val="0"/>
              <w:pageBreakBefore w:val="0"/>
              <w:widowControl w:val="0"/>
              <w:tabs>
                <w:tab w:val="left" w:pos="810"/>
              </w:tabs>
              <w:kinsoku/>
              <w:wordWrap/>
              <w:overflowPunct/>
              <w:topLinePunct w:val="0"/>
              <w:autoSpaceDE/>
              <w:autoSpaceDN/>
              <w:bidi w:val="0"/>
              <w:adjustRightInd/>
              <w:snapToGrid/>
              <w:spacing w:line="560" w:lineRule="exact"/>
              <w:ind w:left="0"/>
              <w:textAlignment w:val="auto"/>
              <w:rPr>
                <w:rFonts w:hint="eastAsia" w:ascii="黑体" w:eastAsia="黑体"/>
                <w:color w:val="000000" w:themeColor="text1"/>
                <w:sz w:val="32"/>
                <w:szCs w:val="32"/>
                <w:lang w:val="en-US" w:eastAsia="zh-CN"/>
                <w14:textFill>
                  <w14:solidFill>
                    <w14:schemeClr w14:val="tx1"/>
                  </w14:solidFill>
                </w14:textFill>
              </w:rPr>
            </w:pPr>
          </w:p>
        </w:tc>
        <w:tc>
          <w:tcPr>
            <w:tcW w:w="1693" w:type="dxa"/>
          </w:tcPr>
          <w:p>
            <w:pPr>
              <w:keepNext w:val="0"/>
              <w:keepLines w:val="0"/>
              <w:pageBreakBefore w:val="0"/>
              <w:widowControl w:val="0"/>
              <w:tabs>
                <w:tab w:val="left" w:pos="810"/>
              </w:tabs>
              <w:kinsoku/>
              <w:wordWrap/>
              <w:overflowPunct/>
              <w:topLinePunct w:val="0"/>
              <w:autoSpaceDE/>
              <w:autoSpaceDN/>
              <w:bidi w:val="0"/>
              <w:adjustRightInd/>
              <w:snapToGrid/>
              <w:spacing w:line="560" w:lineRule="exact"/>
              <w:ind w:left="0"/>
              <w:textAlignment w:val="auto"/>
              <w:rPr>
                <w:rFonts w:hint="eastAsia" w:ascii="黑体" w:eastAsia="黑体"/>
                <w:color w:val="000000" w:themeColor="text1"/>
                <w:sz w:val="32"/>
                <w:szCs w:val="32"/>
                <w:lang w:val="en-US" w:eastAsia="zh-CN"/>
                <w14:textFill>
                  <w14:solidFill>
                    <w14:schemeClr w14:val="tx1"/>
                  </w14:solidFill>
                </w14:textFill>
              </w:rPr>
            </w:pPr>
            <w:r>
              <w:rPr>
                <w:rFonts w:hint="eastAsia" w:ascii="黑体" w:eastAsia="黑体"/>
                <w:color w:val="000000" w:themeColor="text1"/>
                <w:sz w:val="32"/>
                <w:szCs w:val="32"/>
                <w:lang w:val="en-US" w:eastAsia="zh-CN"/>
                <w14:textFill>
                  <w14:solidFill>
                    <w14:schemeClr w14:val="tx1"/>
                  </w14:solidFill>
                </w14:textFill>
              </w:rPr>
              <w:t>提 案 号：</w:t>
            </w:r>
          </w:p>
        </w:tc>
        <w:tc>
          <w:tcPr>
            <w:tcW w:w="5823" w:type="dxa"/>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678" w:type="dxa"/>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黑体" w:eastAsia="黑体"/>
                <w:color w:val="000000" w:themeColor="text1"/>
                <w:sz w:val="32"/>
                <w:szCs w:val="32"/>
                <w14:textFill>
                  <w14:solidFill>
                    <w14:schemeClr w14:val="tx1"/>
                  </w14:solidFill>
                </w14:textFill>
              </w:rPr>
            </w:pPr>
          </w:p>
        </w:tc>
        <w:tc>
          <w:tcPr>
            <w:tcW w:w="1693" w:type="dxa"/>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办理类型：</w:t>
            </w:r>
          </w:p>
        </w:tc>
        <w:tc>
          <w:tcPr>
            <w:tcW w:w="5823" w:type="dxa"/>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678" w:type="dxa"/>
          </w:tcPr>
          <w:p>
            <w:pPr>
              <w:keepNext w:val="0"/>
              <w:keepLines w:val="0"/>
              <w:pageBreakBefore w:val="0"/>
              <w:widowControl w:val="0"/>
              <w:kinsoku/>
              <w:wordWrap/>
              <w:overflowPunct/>
              <w:topLinePunct w:val="0"/>
              <w:autoSpaceDE/>
              <w:autoSpaceDN/>
              <w:bidi w:val="0"/>
              <w:adjustRightInd/>
              <w:snapToGrid/>
              <w:spacing w:line="560" w:lineRule="exact"/>
              <w:ind w:left="0" w:hanging="1600" w:hangingChars="500"/>
              <w:textAlignment w:val="auto"/>
              <w:rPr>
                <w:rFonts w:hint="eastAsia" w:ascii="黑体" w:eastAsia="黑体"/>
                <w:color w:val="000000" w:themeColor="text1"/>
                <w:sz w:val="32"/>
                <w:szCs w:val="32"/>
                <w14:textFill>
                  <w14:solidFill>
                    <w14:schemeClr w14:val="tx1"/>
                  </w14:solidFill>
                </w14:textFill>
              </w:rPr>
            </w:pPr>
          </w:p>
        </w:tc>
        <w:tc>
          <w:tcPr>
            <w:tcW w:w="1693" w:type="dxa"/>
          </w:tcPr>
          <w:p>
            <w:pPr>
              <w:keepNext w:val="0"/>
              <w:keepLines w:val="0"/>
              <w:pageBreakBefore w:val="0"/>
              <w:widowControl w:val="0"/>
              <w:kinsoku/>
              <w:wordWrap/>
              <w:overflowPunct/>
              <w:topLinePunct w:val="0"/>
              <w:autoSpaceDE/>
              <w:autoSpaceDN/>
              <w:bidi w:val="0"/>
              <w:adjustRightInd/>
              <w:snapToGrid/>
              <w:spacing w:line="560" w:lineRule="exact"/>
              <w:ind w:left="0" w:hanging="1600" w:hangingChars="500"/>
              <w:textAlignment w:val="auto"/>
              <w:rPr>
                <w:rFonts w:ascii="Times New Roman" w:eastAsia="华文仿宋"/>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主办单位：</w:t>
            </w:r>
          </w:p>
        </w:tc>
        <w:tc>
          <w:tcPr>
            <w:tcW w:w="5823" w:type="dxa"/>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市公安局,市交通运输局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678" w:type="dxa"/>
          </w:tcPr>
          <w:p>
            <w:pPr>
              <w:keepNext w:val="0"/>
              <w:keepLines w:val="0"/>
              <w:pageBreakBefore w:val="0"/>
              <w:widowControl w:val="0"/>
              <w:kinsoku/>
              <w:wordWrap/>
              <w:overflowPunct/>
              <w:topLinePunct w:val="0"/>
              <w:autoSpaceDE/>
              <w:autoSpaceDN/>
              <w:bidi w:val="0"/>
              <w:adjustRightInd/>
              <w:snapToGrid/>
              <w:spacing w:line="560" w:lineRule="exact"/>
              <w:ind w:left="0" w:hanging="1600" w:hangingChars="500"/>
              <w:textAlignment w:val="auto"/>
              <w:rPr>
                <w:rFonts w:hint="eastAsia" w:ascii="黑体" w:eastAsia="黑体"/>
                <w:color w:val="000000" w:themeColor="text1"/>
                <w:sz w:val="32"/>
                <w:szCs w:val="32"/>
                <w14:textFill>
                  <w14:solidFill>
                    <w14:schemeClr w14:val="tx1"/>
                  </w14:solidFill>
                </w14:textFill>
              </w:rPr>
            </w:pPr>
          </w:p>
        </w:tc>
        <w:tc>
          <w:tcPr>
            <w:tcW w:w="1693" w:type="dxa"/>
          </w:tcPr>
          <w:p>
            <w:pPr>
              <w:keepNext w:val="0"/>
              <w:keepLines w:val="0"/>
              <w:pageBreakBefore w:val="0"/>
              <w:widowControl w:val="0"/>
              <w:kinsoku/>
              <w:wordWrap/>
              <w:overflowPunct/>
              <w:topLinePunct w:val="0"/>
              <w:autoSpaceDE/>
              <w:autoSpaceDN/>
              <w:bidi w:val="0"/>
              <w:adjustRightInd/>
              <w:snapToGrid/>
              <w:spacing w:line="560" w:lineRule="exact"/>
              <w:ind w:left="0" w:hanging="1600" w:hangingChars="500"/>
              <w:textAlignment w:val="auto"/>
              <w:rPr>
                <w:rFonts w:ascii="Times New Roman" w:eastAsia="华文仿宋"/>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会办单位：</w:t>
            </w:r>
          </w:p>
        </w:tc>
        <w:tc>
          <w:tcPr>
            <w:tcW w:w="5823" w:type="dxa"/>
          </w:tcPr>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194" w:type="dxa"/>
            <w:gridSpan w:val="3"/>
          </w:tcPr>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华文仿宋" w:hAnsi="华文仿宋" w:eastAsia="华文仿宋"/>
                <w:color w:val="000000" w:themeColor="text1"/>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案由：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194" w:type="dxa"/>
            <w:gridSpan w:val="3"/>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上下班高峰期是全深圳开车族谈之色变的话题，市委市政府为了解决市民的出行便利，也是费尽了心思。高峰期限行外地车牌、扩宽一些主要干道、打通断头路等措施的逐步完善，大大提升了深圳市民交通出行的效率。可上下班高峰期在一些主干道上红绿灯路口车多缓行的拥堵现象依然比较严重，其中因集中在右转车道通行缓慢引起的现象比较普遍，所以适当的扩增右转车道可在一定程度上缓解右转引起的拥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194" w:type="dxa"/>
            <w:gridSpan w:val="3"/>
          </w:tcPr>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等线" w:hAnsi="等线" w:eastAsia="等线" w:cs="等线"/>
                <w:color w:val="000000"/>
                <w:sz w:val="32"/>
                <w:szCs w:val="32"/>
              </w:rPr>
            </w:pPr>
            <w:r>
              <w:rPr>
                <w:rFonts w:hint="eastAsia" w:ascii="黑体" w:eastAsia="黑体"/>
                <w:color w:val="000000" w:themeColor="text1"/>
                <w:sz w:val="32"/>
                <w:szCs w:val="32"/>
                <w14:textFill>
                  <w14:solidFill>
                    <w14:schemeClr w14:val="tx1"/>
                  </w14:solidFill>
                </w14:textFill>
              </w:rPr>
              <w:t>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194" w:type="dxa"/>
            <w:gridSpan w:val="3"/>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等线" w:hAnsi="等线" w:eastAsia="等线"/>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建议一、全市红灯可右转车道从一车道变两车道； 红灯可右转路口无法改扩的可加设潮汐车道右转； 对于新增加车道通过深圳交警交通公众号加强宣传引导。
</w:t>
            </w:r>
            <w:r>
              <w:rPr>
                <w:rFonts w:hint="eastAsia" w:ascii="仿宋_GB2312" w:hAnsi="仿宋_GB2312" w:eastAsia="仿宋_GB2312" w:cs="仿宋_GB2312"/>
                <w:color w:val="000000" w:themeColor="text1"/>
                <w:sz w:val="32"/>
                <w:szCs w:val="32"/>
                <w14:textFill>
                  <w14:solidFill>
                    <w14:schemeClr w14:val="tx1"/>
                  </w14:solidFill>
                </w14:textFill>
              </w:rPr>
              <w:br/>
            </w:r>
            <w:r>
              <w:rPr>
                <w:rFonts w:hint="eastAsia" w:ascii="仿宋_GB2312" w:hAnsi="仿宋_GB2312" w:eastAsia="仿宋_GB2312" w:cs="仿宋_GB2312"/>
                <w:color w:val="000000" w:themeColor="text1"/>
                <w:sz w:val="32"/>
                <w:szCs w:val="32"/>
                <w14:textFill>
                  <w14:solidFill>
                    <w14:schemeClr w14:val="tx1"/>
                  </w14:solidFill>
                </w14:textFill>
              </w:rPr>
              <w:t xml:space="preserve">    补充说明：现行的交通法规里面除箭头式红绿灯右转箭头红灯时不允许右转，其他圆饼式红绿灯或者未标示圆饼红绿灯在红灯时，在观察安全的情况下是允许右转的。但在日常行车中，我们通常会发现这类车道在上下班高峰期容易拥堵，一方面是由于通行车辆较多，通行速度比较缓慢，另一方面是由于一些不明交规的驾驶员不敢通行等待所致，增加了通行负担。</w:t>
            </w:r>
            <w:r>
              <w:rPr>
                <w:rFonts w:hint="eastAsia" w:ascii="仿宋_GB2312" w:hAnsi="仿宋_GB2312" w:eastAsia="仿宋_GB2312" w:cs="仿宋_GB2312"/>
                <w:color w:val="000000" w:themeColor="text1"/>
                <w:sz w:val="32"/>
                <w:szCs w:val="32"/>
                <w14:textFill>
                  <w14:solidFill>
                    <w14:schemeClr w14:val="tx1"/>
                  </w14:solidFill>
                </w14:textFill>
              </w:rPr>
              <w:br/>
            </w:r>
            <w:r>
              <w:rPr>
                <w:rFonts w:hint="eastAsia" w:ascii="仿宋_GB2312" w:hAnsi="仿宋_GB2312" w:eastAsia="仿宋_GB2312" w:cs="仿宋_GB2312"/>
                <w:color w:val="000000" w:themeColor="text1"/>
                <w:sz w:val="32"/>
                <w:szCs w:val="32"/>
                <w14:textFill>
                  <w14:solidFill>
                    <w14:schemeClr w14:val="tx1"/>
                  </w14:solidFill>
                </w14:textFill>
              </w:rPr>
              <w:t>对于上述情况，在红绿灯可以右转的路口增加一条右转车道可大大提高右转车辆的通行效率，多一条通道还可避免一些因交通事故、走错车道、不明交规不敢通行等突发状况而引起的交通拥堵。</w:t>
            </w:r>
            <w:r>
              <w:rPr>
                <w:rFonts w:hint="eastAsia" w:ascii="仿宋_GB2312" w:hAnsi="仿宋_GB2312" w:eastAsia="仿宋_GB2312" w:cs="仿宋_GB2312"/>
                <w:color w:val="000000" w:themeColor="text1"/>
                <w:sz w:val="32"/>
                <w:szCs w:val="32"/>
                <w14:textFill>
                  <w14:solidFill>
                    <w14:schemeClr w14:val="tx1"/>
                  </w14:solidFill>
                </w14:textFill>
              </w:rPr>
              <w:br/>
            </w:r>
            <w:r>
              <w:rPr>
                <w:rFonts w:hint="eastAsia" w:ascii="仿宋_GB2312" w:hAnsi="仿宋_GB2312" w:eastAsia="仿宋_GB2312" w:cs="仿宋_GB2312"/>
                <w:color w:val="000000" w:themeColor="text1"/>
                <w:sz w:val="32"/>
                <w:szCs w:val="32"/>
                <w14:textFill>
                  <w14:solidFill>
                    <w14:schemeClr w14:val="tx1"/>
                  </w14:solidFill>
                </w14:textFill>
              </w:rPr>
              <w:t>而对于一些路口因地势限制而无法扩增车道的情况，可以将靠右转车道的直行车道改为潮汐车道，即在上下班高峰时段红灯可右转的路口靠近右转车道的直行车道可在过红绿灯后右转。</w:t>
            </w:r>
            <w:r>
              <w:rPr>
                <w:rFonts w:hint="eastAsia" w:ascii="仿宋_GB2312" w:hAnsi="仿宋_GB2312" w:eastAsia="仿宋_GB2312" w:cs="仿宋_GB2312"/>
                <w:color w:val="000000" w:themeColor="text1"/>
                <w:sz w:val="32"/>
                <w:szCs w:val="32"/>
                <w14:textFill>
                  <w14:solidFill>
                    <w14:schemeClr w14:val="tx1"/>
                  </w14:solidFill>
                </w14:textFill>
              </w:rPr>
              <w:br/>
            </w:r>
            <w:r>
              <w:rPr>
                <w:rFonts w:hint="eastAsia" w:ascii="仿宋_GB2312" w:hAnsi="仿宋_GB2312" w:eastAsia="仿宋_GB2312" w:cs="仿宋_GB2312"/>
                <w:color w:val="000000" w:themeColor="text1"/>
                <w:sz w:val="32"/>
                <w:szCs w:val="32"/>
                <w14:textFill>
                  <w14:solidFill>
                    <w14:schemeClr w14:val="tx1"/>
                  </w14:solidFill>
                </w14:textFill>
              </w:rPr>
              <w:t>经扩增之后的路口变化同时通过深圳交警、深圳交通等网络平台进行宣传，引导市民更加安全便利的通行。
</w:t>
            </w:r>
            <w:r>
              <w:rPr>
                <w:rFonts w:hint="eastAsia" w:ascii="仿宋_GB2312" w:hAnsi="仿宋_GB2312" w:eastAsia="仿宋_GB2312" w:cs="仿宋_GB2312"/>
                <w:color w:val="000000" w:themeColor="text1"/>
                <w:sz w:val="32"/>
                <w:szCs w:val="32"/>
                <w14:textFill>
                  <w14:solidFill>
                    <w14:schemeClr w14:val="tx1"/>
                  </w14:solidFill>
                </w14:textFill>
              </w:rPr>
              <w:br/>
            </w:r>
            <w:r>
              <w:rPr>
                <w:rFonts w:hint="eastAsia" w:ascii="仿宋_GB2312" w:hAnsi="仿宋_GB2312" w:eastAsia="仿宋_GB2312" w:cs="仿宋_GB2312"/>
                <w:color w:val="000000" w:themeColor="text1"/>
                <w:sz w:val="32"/>
                <w:szCs w:val="32"/>
                <w14:textFill>
                  <w14:solidFill>
                    <w14:schemeClr w14:val="tx1"/>
                  </w14:solidFill>
                </w14:textFill>
              </w:rPr>
              <w:br w:type="textWrapping"/>
            </w:r>
          </w:p>
        </w:tc>
      </w:tr>
    </w:tbl>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lYzhjNjM5MmQ5NWFjOTZkMDY3ZGQzM2E4YzI1NjAifQ=="/>
  </w:docVars>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08CE6F70"/>
    <w:rsid w:val="0FD27D79"/>
    <w:rsid w:val="134F76DA"/>
    <w:rsid w:val="13E3273E"/>
    <w:rsid w:val="13F803AD"/>
    <w:rsid w:val="169D5372"/>
    <w:rsid w:val="20AD64FF"/>
    <w:rsid w:val="2192492D"/>
    <w:rsid w:val="25F80A39"/>
    <w:rsid w:val="2B8A6344"/>
    <w:rsid w:val="2E59180F"/>
    <w:rsid w:val="373B464F"/>
    <w:rsid w:val="3F5E17DA"/>
    <w:rsid w:val="44360900"/>
    <w:rsid w:val="4E8D4E8C"/>
    <w:rsid w:val="4EE062F9"/>
    <w:rsid w:val="514C5B9B"/>
    <w:rsid w:val="54992EC7"/>
    <w:rsid w:val="58FB2054"/>
    <w:rsid w:val="5EA62400"/>
    <w:rsid w:val="6ADA0666"/>
    <w:rsid w:val="70A46629"/>
    <w:rsid w:val="79EF7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autoRedefine/>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Light Shading Accent 2"/>
    <w:autoRedefine/>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unnamedxuan</Company>
  <Pages>1</Pages>
  <Words>39</Words>
  <Characters>41</Characters>
  <Lines>1</Lines>
  <Paragraphs>1</Paragraphs>
  <TotalTime>0</TotalTime>
  <ScaleCrop>false</ScaleCrop>
  <LinksUpToDate>false</LinksUpToDate>
  <CharactersWithSpaces>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lenovo</cp:lastModifiedBy>
  <dcterms:modified xsi:type="dcterms:W3CDTF">2024-06-24T03:05:11Z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22EB438B6E71432982BA343865294FE5</vt:lpwstr>
  </property>
</Properties>
</file>