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000000" w:themeColor="text1"/>
          <w14:textFill>
            <w14:solidFill>
              <w14:schemeClr w14:val="tx1"/>
            </w14:solidFill>
          </w14:textFill>
        </w:rPr>
      </w:pP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tbl>
      <w:tblPr>
        <w:tblStyle w:val="TableGrid"/>
        <w:tblW w:w="82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62"/>
        <w:gridCol w:w="856"/>
        <w:gridCol w:w="425"/>
        <w:gridCol w:w="1134"/>
        <w:gridCol w:w="524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9" w:hRule="atLeast"/>
        </w:trPr>
        <w:tc>
          <w:tcPr>
            <w:tcW w:w="562" w:type="dxa"/>
          </w:tcPr>
          <w:p>
            <w:pPr>
              <w:rPr>
                <w:color w:val="000000" w:themeColor="text1"/>
                <w14:textFill>
                  <w14:solidFill>
                    <w14:schemeClr w14:val="tx1"/>
                  </w14:solidFill>
                </w14:textFill>
              </w:rPr>
            </w:pPr>
            <w:r>
              <w:rPr>
                <w:rFonts w:ascii="Times New Roman" w:eastAsia="华文仿宋"/>
                <w:color w:val="000000" w:themeColor="text1"/>
                <w:sz w:val="32"/>
                <w14:textFill>
                  <w14:solidFill>
                    <w14:schemeClr w14:val="tx1"/>
                  </w14:solidFill>
                </w14:textFill>
              </w:rPr>
              <w:t>5</w:t>
            </w:r>
          </w:p>
        </w:tc>
        <w:tc>
          <w:tcPr>
            <w:tcW w:w="1281" w:type="dxa"/>
            <w:gridSpan w:val="2"/>
          </w:tcPr>
          <w:p>
            <w:pPr>
              <w:rPr>
                <w:color w:val="000000" w:themeColor="text1"/>
                <w14:textFill>
                  <w14:solidFill>
                    <w14:schemeClr w14:val="tx1"/>
                  </w14:solidFill>
                </w14:textFill>
              </w:rPr>
            </w:pPr>
            <w:r>
              <w:rPr>
                <w:rFonts w:hint="eastAsia" w:ascii="Times New Roman" w:eastAsia="华文仿宋"/>
                <w:color w:val="000000" w:themeColor="text1"/>
                <w:sz w:val="32"/>
                <w14:textFill>
                  <w14:solidFill>
                    <w14:schemeClr w14:val="tx1"/>
                  </w14:solidFill>
                </w14:textFill>
              </w:rPr>
              <w:t>、提案第</w:t>
            </w:r>
          </w:p>
        </w:tc>
        <w:tc>
          <w:tcPr>
            <w:tcW w:w="1134" w:type="dxa"/>
          </w:tcPr>
          <w:p>
            <w:pPr>
              <w:rPr>
                <w:rFonts w:ascii="华文仿宋" w:hAnsi="华文仿宋" w:eastAsia="华文仿宋"/>
                <w:color w:val="000000" w:themeColor="text1"/>
                <w:sz w:val="28"/>
                <w:szCs w:val="28"/>
                <w14:textFill>
                  <w14:solidFill>
                    <w14:schemeClr w14:val="tx1"/>
                  </w14:solidFill>
                </w14:textFill>
              </w:rPr>
            </w:pPr>
            <w:r>
              <w:rPr>
                <w:rFonts w:ascii="华文仿宋" w:hAnsi="华文仿宋" w:eastAsia="华文仿宋"/>
                <w:color w:val="000000" w:themeColor="text1"/>
                <w:sz w:val="28"/>
                <w:szCs w:val="28"/>
                <w14:textFill>
                  <w14:solidFill>
                    <w14:schemeClr w14:val="tx1"/>
                  </w14:solidFill>
                </w14:textFill>
              </w:rPr>
              <w:t>20230067</w:t>
            </w:r>
          </w:p>
        </w:tc>
        <w:tc>
          <w:tcPr>
            <w:tcW w:w="5245" w:type="dxa"/>
          </w:tcPr>
          <w:p>
            <w:pPr>
              <w:rPr>
                <w:color w:val="000000" w:themeColor="text1"/>
                <w14:textFill>
                  <w14:solidFill>
                    <w14:schemeClr w14:val="tx1"/>
                  </w14:solidFill>
                </w14:textFill>
              </w:rPr>
            </w:pPr>
            <w:r>
              <w:rPr>
                <w:rFonts w:hint="eastAsia" w:ascii="Times New Roman" w:eastAsia="华文仿宋"/>
                <w:color w:val="000000" w:themeColor="text1"/>
                <w:sz w:val="32"/>
                <w14:textFill>
                  <w14:solidFill>
                    <w14:schemeClr w14:val="tx1"/>
                  </w14:solidFill>
                </w14:textFill>
              </w:rPr>
              <w:t>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41" w:hRule="atLeast"/>
        </w:trPr>
        <w:tc>
          <w:tcPr>
            <w:tcW w:w="1418" w:type="dxa"/>
            <w:gridSpan w:val="2"/>
          </w:tcPr>
          <w:p>
            <w:pPr>
              <w:rPr>
                <w:color w:val="000000" w:themeColor="text1"/>
                <w14:textFill>
                  <w14:solidFill>
                    <w14:schemeClr w14:val="tx1"/>
                  </w14:solidFill>
                </w14:textFill>
              </w:rPr>
            </w:pPr>
            <w:r>
              <w:rPr>
                <w:rFonts w:hint="eastAsia" w:ascii="黑体" w:eastAsia="黑体"/>
                <w:color w:val="000000" w:themeColor="text1"/>
                <w:sz w:val="28"/>
                <w14:textFill>
                  <w14:solidFill>
                    <w14:schemeClr w14:val="tx1"/>
                  </w14:solidFill>
                </w14:textFill>
              </w:rPr>
              <w:t>标    题：</w:t>
            </w:r>
          </w:p>
        </w:tc>
        <w:tc>
          <w:tcPr>
            <w:tcW w:w="6804" w:type="dxa"/>
            <w:gridSpan w:val="3"/>
          </w:tcPr>
          <w:p>
            <w:pPr>
              <w:rPr>
                <w:rFonts w:ascii="华文仿宋" w:hAnsi="华文仿宋" w:eastAsia="华文仿宋"/>
                <w:color w:val="000000" w:themeColor="text1"/>
                <w:sz w:val="28"/>
                <w:szCs w:val="28"/>
                <w14:textFill>
                  <w14:solidFill>
                    <w14:schemeClr w14:val="tx1"/>
                  </w14:solidFill>
                </w14:textFill>
              </w:rPr>
            </w:pPr>
            <w:r>
              <w:rPr>
                <w:rFonts w:ascii="华文仿宋" w:hAnsi="华文仿宋" w:eastAsia="华文仿宋"/>
                <w:color w:val="000000" w:themeColor="text1"/>
                <w:sz w:val="28"/>
                <w:szCs w:val="28"/>
                <w14:textFill>
                  <w14:solidFill>
                    <w14:schemeClr w14:val="tx1"/>
                  </w14:solidFill>
                </w14:textFill>
              </w:rPr>
              <w:t>关于开辟更多直飞国际航线促进我市高质量发展的提案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66" w:hRule="atLeast"/>
        </w:trPr>
        <w:tc>
          <w:tcPr>
            <w:tcW w:w="1418" w:type="dxa"/>
            <w:gridSpan w:val="2"/>
          </w:tcPr>
          <w:p>
            <w:pPr>
              <w:tabs>
                <w:tab w:val="left" w:pos="810"/>
              </w:tabs>
              <w:rPr>
                <w:color w:val="000000" w:themeColor="text1"/>
                <w14:textFill>
                  <w14:solidFill>
                    <w14:schemeClr w14:val="tx1"/>
                  </w14:solidFill>
                </w14:textFill>
              </w:rPr>
            </w:pPr>
            <w:r>
              <w:rPr>
                <w:rFonts w:hint="eastAsia" w:ascii="黑体" w:eastAsia="黑体"/>
                <w:color w:val="000000" w:themeColor="text1"/>
                <w:sz w:val="28"/>
                <w14:textFill>
                  <w14:solidFill>
                    <w14:schemeClr w14:val="tx1"/>
                  </w14:solidFill>
                </w14:textFill>
              </w:rPr>
              <w:t>提 出 人：</w:t>
            </w:r>
          </w:p>
        </w:tc>
        <w:tc>
          <w:tcPr>
            <w:tcW w:w="6804" w:type="dxa"/>
            <w:gridSpan w:val="3"/>
          </w:tcPr>
          <w:p>
            <w:pPr>
              <w:rPr>
                <w:rFonts w:ascii="华文仿宋" w:hAnsi="华文仿宋" w:eastAsia="华文仿宋"/>
                <w:color w:val="000000" w:themeColor="text1"/>
                <w:sz w:val="28"/>
                <w:szCs w:val="28"/>
                <w14:textFill>
                  <w14:solidFill>
                    <w14:schemeClr w14:val="tx1"/>
                  </w14:solidFill>
                </w14:textFill>
              </w:rPr>
            </w:pPr>
            <w:r>
              <w:rPr>
                <w:rFonts w:ascii="华文仿宋" w:hAnsi="华文仿宋" w:eastAsia="华文仿宋"/>
                <w:color w:val="000000" w:themeColor="text1"/>
                <w:sz w:val="28"/>
                <w:szCs w:val="28"/>
                <w14:textFill>
                  <w14:solidFill>
                    <w14:schemeClr w14:val="tx1"/>
                  </w14:solidFill>
                </w14:textFill>
              </w:rPr>
              <w:t>对外友好界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1" w:hRule="atLeast"/>
        </w:trPr>
        <w:tc>
          <w:tcPr>
            <w:tcW w:w="1418" w:type="dxa"/>
            <w:gridSpan w:val="2"/>
          </w:tcPr>
          <w:p>
            <w:pPr>
              <w:rPr>
                <w:color w:val="000000" w:themeColor="text1"/>
                <w14:textFill>
                  <w14:solidFill>
                    <w14:schemeClr w14:val="tx1"/>
                  </w14:solidFill>
                </w14:textFill>
              </w:rPr>
            </w:pPr>
            <w:r>
              <w:rPr>
                <w:rFonts w:hint="eastAsia" w:ascii="黑体" w:eastAsia="黑体"/>
                <w:color w:val="000000" w:themeColor="text1"/>
                <w:sz w:val="28"/>
                <w14:textFill>
                  <w14:solidFill>
                    <w14:schemeClr w14:val="tx1"/>
                  </w14:solidFill>
                </w14:textFill>
              </w:rPr>
              <w:t>办理类型：</w:t>
            </w:r>
          </w:p>
        </w:tc>
        <w:tc>
          <w:tcPr>
            <w:tcW w:w="6804" w:type="dxa"/>
            <w:gridSpan w:val="3"/>
          </w:tcPr>
          <w:p>
            <w:pPr>
              <w:rPr>
                <w:rFonts w:ascii="华文仿宋" w:hAnsi="华文仿宋" w:eastAsia="华文仿宋"/>
                <w:color w:val="000000" w:themeColor="text1"/>
                <w:sz w:val="28"/>
                <w:szCs w:val="28"/>
                <w14:textFill>
                  <w14:solidFill>
                    <w14:schemeClr w14:val="tx1"/>
                  </w14:solidFill>
                </w14:textFill>
              </w:rPr>
            </w:pPr>
            <w:r>
              <w:rPr>
                <w:rFonts w:ascii="华文仿宋" w:hAnsi="华文仿宋" w:eastAsia="华文仿宋"/>
                <w:color w:val="000000" w:themeColor="text1"/>
                <w:sz w:val="28"/>
                <w:szCs w:val="28"/>
                <w14:textFill>
                  <w14:solidFill>
                    <w14:schemeClr w14:val="tx1"/>
                  </w14:solidFill>
                </w14:textFill>
              </w:rPr>
              <w:t>主办会办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5" w:hRule="atLeast"/>
        </w:trPr>
        <w:tc>
          <w:tcPr>
            <w:tcW w:w="1418" w:type="dxa"/>
            <w:gridSpan w:val="2"/>
          </w:tcPr>
          <w:p>
            <w:pPr>
              <w:ind w:left="1400" w:hanging="1400" w:hangingChars="500"/>
              <w:rPr>
                <w:rFonts w:ascii="Times New Roman" w:eastAsia="华文仿宋"/>
                <w:color w:val="000000" w:themeColor="text1"/>
                <w:sz w:val="28"/>
                <w14:textFill>
                  <w14:solidFill>
                    <w14:schemeClr w14:val="tx1"/>
                  </w14:solidFill>
                </w14:textFill>
              </w:rPr>
            </w:pPr>
            <w:r>
              <w:rPr>
                <w:rFonts w:hint="eastAsia" w:ascii="黑体" w:eastAsia="黑体"/>
                <w:color w:val="000000" w:themeColor="text1"/>
                <w:sz w:val="28"/>
                <w14:textFill>
                  <w14:solidFill>
                    <w14:schemeClr w14:val="tx1"/>
                  </w14:solidFill>
                </w14:textFill>
              </w:rPr>
              <w:t>主办单位：</w:t>
            </w:r>
          </w:p>
        </w:tc>
        <w:tc>
          <w:tcPr>
            <w:tcW w:w="6804" w:type="dxa"/>
            <w:gridSpan w:val="3"/>
          </w:tcPr>
          <w:p>
            <w:pPr>
              <w:rPr>
                <w:rFonts w:ascii="华文仿宋" w:hAnsi="华文仿宋" w:eastAsia="华文仿宋"/>
                <w:color w:val="000000" w:themeColor="text1"/>
                <w:sz w:val="28"/>
                <w:szCs w:val="28"/>
                <w14:textFill>
                  <w14:solidFill>
                    <w14:schemeClr w14:val="tx1"/>
                  </w14:solidFill>
                </w14:textFill>
              </w:rPr>
            </w:pPr>
            <w:r>
              <w:rPr>
                <w:rFonts w:ascii="华文仿宋" w:hAnsi="华文仿宋" w:eastAsia="华文仿宋"/>
                <w:color w:val="000000" w:themeColor="text1"/>
                <w:sz w:val="28"/>
                <w:szCs w:val="28"/>
                <w14:textFill>
                  <w14:solidFill>
                    <w14:schemeClr w14:val="tx1"/>
                  </w14:solidFill>
                </w14:textFill>
              </w:rPr>
              <w:t>市交通运输局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5" w:hRule="atLeast"/>
        </w:trPr>
        <w:tc>
          <w:tcPr>
            <w:tcW w:w="1418" w:type="dxa"/>
            <w:gridSpan w:val="2"/>
          </w:tcPr>
          <w:p>
            <w:pPr>
              <w:ind w:left="1400" w:hanging="1400" w:hangingChars="500"/>
              <w:rPr>
                <w:rFonts w:ascii="Times New Roman" w:eastAsia="华文仿宋"/>
                <w:color w:val="000000" w:themeColor="text1"/>
                <w:sz w:val="28"/>
                <w14:textFill>
                  <w14:solidFill>
                    <w14:schemeClr w14:val="tx1"/>
                  </w14:solidFill>
                </w14:textFill>
              </w:rPr>
            </w:pPr>
            <w:r>
              <w:rPr>
                <w:rFonts w:hint="eastAsia" w:ascii="黑体" w:eastAsia="黑体"/>
                <w:color w:val="000000" w:themeColor="text1"/>
                <w:sz w:val="28"/>
                <w14:textFill>
                  <w14:solidFill>
                    <w14:schemeClr w14:val="tx1"/>
                  </w14:solidFill>
                </w14:textFill>
              </w:rPr>
              <w:t>会办单位：</w:t>
            </w:r>
          </w:p>
        </w:tc>
        <w:tc>
          <w:tcPr>
            <w:tcW w:w="6804" w:type="dxa"/>
            <w:gridSpan w:val="3"/>
          </w:tcPr>
          <w:p>
            <w:pPr>
              <w:rPr>
                <w:rFonts w:ascii="华文仿宋" w:hAnsi="华文仿宋" w:eastAsia="华文仿宋"/>
                <w:color w:val="000000" w:themeColor="text1"/>
                <w:sz w:val="28"/>
                <w:szCs w:val="28"/>
                <w14:textFill>
                  <w14:solidFill>
                    <w14:schemeClr w14:val="tx1"/>
                  </w14:solidFill>
                </w14:textFill>
              </w:rPr>
            </w:pPr>
            <w:r>
              <w:rPr>
                <w:rFonts w:ascii="华文仿宋" w:hAnsi="华文仿宋" w:eastAsia="华文仿宋"/>
                <w:color w:val="000000" w:themeColor="text1"/>
                <w:sz w:val="28"/>
                <w:szCs w:val="28"/>
                <w14:textFill>
                  <w14:solidFill>
                    <w14:schemeClr w14:val="tx1"/>
                  </w14:solidFill>
                </w14:textFill>
              </w:rPr>
              <w:t>市商务局,深圳边检,深圳海关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73" w:hRule="atLeast"/>
        </w:trPr>
        <w:tc>
          <w:tcPr>
            <w:tcW w:w="8222" w:type="dxa"/>
            <w:gridSpan w:val="5"/>
          </w:tcPr>
          <w:p>
            <w:pPr>
              <w:rPr>
                <w:rFonts w:ascii="华文仿宋" w:hAnsi="华文仿宋" w:eastAsia="华文仿宋"/>
                <w:color w:val="000000" w:themeColor="text1"/>
                <w:sz w:val="28"/>
                <w:szCs w:val="28"/>
                <w14:textFill>
                  <w14:solidFill>
                    <w14:schemeClr w14:val="tx1"/>
                  </w14:solidFill>
                </w14:textFill>
              </w:rPr>
            </w:pPr>
            <w:r>
              <w:rPr>
                <w:rFonts w:hint="eastAsia" w:ascii="黑体" w:eastAsia="黑体"/>
                <w:color w:val="000000" w:themeColor="text1"/>
                <w:sz w:val="28"/>
                <w14:textFill>
                  <w14:solidFill>
                    <w14:schemeClr w14:val="tx1"/>
                  </w14:solidFill>
                </w14:textFill>
              </w:rPr>
              <w:t>案由及需要说明的情况：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82" w:hRule="atLeast"/>
        </w:trPr>
        <w:tc>
          <w:tcPr>
            <w:tcW w:w="8222" w:type="dxa"/>
            <w:gridSpan w:val="5"/>
          </w:tcPr>
          <w:p>
            <w:pPr>
              <w:rPr>
                <w:rFonts w:asciiTheme="minorEastAsia" w:hAnsiTheme="minorEastAsia"/>
                <w:color w:val="000000" w:themeColor="text1"/>
                <w:sz w:val="24"/>
                <w:szCs w:val="24"/>
                <w14:textFill>
                  <w14:solidFill>
                    <w14:schemeClr w14:val="tx1"/>
                  </w14:solidFill>
                </w14:textFill>
              </w:rPr>
            </w:pPr>
            <w:r>
              <w:rPr>
                <w:rFonts w:ascii="华文仿宋" w:hAnsi="华文仿宋" w:eastAsia="华文仿宋"/>
                <w:color w:val="000000" w:themeColor="text1"/>
                <w:sz w:val="28"/>
                <w:szCs w:val="28"/>
                <w14:textFill>
                  <w14:solidFill>
                    <w14:schemeClr w14:val="tx1"/>
                  </w14:solidFill>
                </w14:textFill>
              </w:rPr>
              <w:t xml:space="preserve">    打造更具全球影响力的经济中心城市和现代化国际大都市，建设好中国特色社会主义先行示范区，创建社会主义现代化强国的城市范例，这是党中央赋予深圳的使命。为更好地实现这一目标，建议抓住当前我国疫情防控进入新阶段、线下国际交流合作有序恢复的机会，开辟更多更重要的直飞国际航线。</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一）建设社会主义先行示范区和国际大都市的迫切需要。作为经济特区和社会主义先行示范区，对外开放离不开直飞国际航线，而深圳目前直飞的航线多为亚洲城市，飞往欧美大城市的国际航线则大多要中转。在全球大城市机场显示屏上很少看到深圳，这与我市定位明显不符。现深圳机场运营国际客运航线直飞城市19个，欧洲（3个）：阿姆斯特丹、约翰内斯堡、莫斯科；美洲（2个）：洛杉矶、温哥华；亚洲（14个）：迪拜、特拉维夫、德黑兰、新加坡、吉隆坡、金边、雅加达、曼谷、东京、首尔、胡志明、美娜多、巴厘岛、马尼拉。</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二）提高城市整体运营效率的需要。近年来深圳及周边城市的商务出国人数在持续不断增长，直飞国际航线的不足不利于生产生活效率的提高，也不利于参与国际竞争。很多旅客为避免航班因中转耗时，宁愿选择从陆路或者水路出发前往香港搭乘直飞的国际航班，而陆路要办理3次出入境手续，可谓“费时费钱费力”。</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三）减少我市口岸通行压力的需要。目前珠三角和深圳的人员出国，大多经过深圳前往香港搭乘飞机，造成口岸压力增大。香港机场每年的旅客有一大半来自中国内地，其中不少由深圳过境。（执笔人：孙怀忠委员13510029999</w:t>
            </w:r>
            <w:r>
              <w:rPr>
                <w:rFonts w:ascii="华文仿宋" w:hAnsi="华文仿宋" w:eastAsia="华文仿宋"/>
                <w:color w:val="000000" w:themeColor="text1"/>
                <w:sz w:val="28"/>
                <w:szCs w:val="28"/>
                <w14:textFill>
                  <w14:solidFill>
                    <w14:schemeClr w14:val="tx1"/>
                  </w14:solidFill>
                </w14:textFill>
              </w:rPr>
              <w:tab/>
            </w:r>
            <w:r>
              <w:rPr>
                <w:rFonts w:ascii="华文仿宋" w:hAnsi="华文仿宋" w:eastAsia="华文仿宋"/>
                <w:color w:val="000000" w:themeColor="text1"/>
                <w:sz w:val="28"/>
                <w:szCs w:val="28"/>
                <w14:textFill>
                  <w14:solidFill>
                    <w14:schemeClr w14:val="tx1"/>
                  </w14:solidFill>
                </w14:textFill>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07" w:hRule="atLeast"/>
        </w:trPr>
        <w:tc>
          <w:tcPr>
            <w:tcW w:w="8222" w:type="dxa"/>
            <w:gridSpan w:val="5"/>
          </w:tcPr>
          <w:p>
            <w:pPr>
              <w:rPr>
                <w:rFonts w:ascii="等线" w:hAnsi="等线" w:eastAsia="等线" w:cs="等线"/>
                <w:color w:val="000000"/>
              </w:rPr>
            </w:pPr>
            <w:r>
              <w:rPr>
                <w:rFonts w:hint="eastAsia" w:ascii="黑体" w:eastAsia="黑体"/>
                <w:color w:val="000000" w:themeColor="text1"/>
                <w:sz w:val="28"/>
                <w14:textFill>
                  <w14:solidFill>
                    <w14:schemeClr w14:val="tx1"/>
                  </w14:solidFill>
                </w14:textFill>
              </w:rPr>
              <w:t>意见建议：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82" w:hRule="atLeast"/>
        </w:trPr>
        <w:tc>
          <w:tcPr>
            <w:tcW w:w="8222" w:type="dxa"/>
            <w:gridSpan w:val="5"/>
          </w:tcPr>
          <w:p>
            <w:pPr>
              <w:rPr>
                <w:rFonts w:ascii="等线" w:hAnsi="等线" w:eastAsia="等线"/>
                <w:color w:val="000000" w:themeColor="text1"/>
                <w:szCs w:val="21"/>
                <w14:textFill>
                  <w14:solidFill>
                    <w14:schemeClr w14:val="tx1"/>
                  </w14:solidFill>
                </w14:textFill>
              </w:rPr>
            </w:pPr>
            <w:r>
              <w:rPr>
                <w:rFonts w:ascii="华文仿宋" w:hAnsi="华文仿宋" w:eastAsia="华文仿宋"/>
                <w:color w:val="000000" w:themeColor="text1"/>
                <w:sz w:val="28"/>
                <w:szCs w:val="28"/>
                <w14:textFill>
                  <w14:solidFill>
                    <w14:schemeClr w14:val="tx1"/>
                  </w14:solidFill>
                </w14:textFill>
              </w:rPr>
              <w:t xml:space="preserve">    建议一、认真研究国家民航局关于国际航线的最新考虑。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xml:space="preserve">    补充说明：疫情过后各方面的情况都有变化，国际航空市场持续复苏，估计一些国际航空公司从经济角度考虑，在直飞航线布局上也会做调整。我们应积极汇报，争取国家相关部门的支持。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xml:space="preserve">    建议二、在开通航线初始阶段的设计上，暂时不和香港、广州过度竞争。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xml:space="preserve">    补充说明：可以先行调研，根据我市实际需求设计直飞航班，作为“中国的硅谷”，从创新型城市建设角度出发，优先考虑欧洲和美国最重要的创新型城市。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xml:space="preserve">    建议三、关于航空公司的选择。争取将深圳作为开放试验区，允许外航同等进入，建立自由市场。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xml:space="preserve">    补充说明：建议积极协调有关部委参照海南，将深圳作为开放第三、四、五航权的“天空开放”试验区，并在国际航空双边会谈中予以重点推介。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xml:space="preserve">    建议四、抓紧调研结合实际需求，确保航线开通后运营的可持续性。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xml:space="preserve">    补充说明：建议科创、商务、工信、贸促以及边检和海关等部门根据相关的经济和旅客数据分析未来走向，先易后难确定开拓计划，稳打稳扎。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xml:space="preserve">    建议五、关于补贴。疫情过后抢抓机遇，此时加大补贴力度是好钢用在刀刃上。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xml:space="preserve">    补充说明：据悉，目前广州、昆明等国内城市已陆续出台国际客运航线资助政策。为大力拓展深圳“直达”全球主要城市国际航线，并使深圳在疫情后的恢复期占得发展先机，建议加快出台新的国际航空客运财政资助政策。
</w:t>
            </w:r>
            <w:r>
              <w:rPr>
                <w:rFonts w:ascii="华文仿宋" w:hAnsi="华文仿宋" w:eastAsia="华文仿宋"/>
                <w:color w:val="000000" w:themeColor="text1"/>
                <w:sz w:val="28"/>
                <w:szCs w:val="28"/>
                <w14:textFill>
                  <w14:solidFill>
                    <w14:schemeClr w14:val="tx1"/>
                  </w14:solidFill>
                </w14:textFill>
              </w:rPr>
              <w:br/>
            </w:r>
          </w:p>
        </w:tc>
      </w:tr>
    </w:tbl>
    <w:p>
      <w:pPr>
        <w:sectPr/>
      </w:pPr>
    </w:p>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10" w:usb3="00000000" w:csb0="000400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9863567"/>
    </w:sdtPr>
    <w:sdtContent>
      <w:p>
        <w:pPr>
          <w:pStyle w:val="4"/>
          <w:jc w:val="right"/>
        </w:pPr>
        <w:r>
          <w:fldChar w:fldCharType="begin"/>
        </w:r>
        <w:r>
          <w:instrText xml:space="preserve">PAGE   \* MERGEFORMAT</w:instrText>
        </w:r>
        <w:r>
          <w:fldChar w:fldCharType="separate"/>
        </w:r>
        <w:r>
          <w:rPr>
            <w:lang w:val="zh-CN"/>
          </w:rPr>
          <w:t>1</w:t>
        </w:r>
        <w:r>
          <w:fldChar w:fldCharType="end"/>
        </w:r>
      </w:p>
    </w:sdtContent>
  </w:sdt>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41E6"/>
    <w:rsid w:val="00042432"/>
    <w:rsid w:val="000D41E6"/>
    <w:rsid w:val="001114EC"/>
    <w:rsid w:val="00147BCA"/>
    <w:rsid w:val="00166A4D"/>
    <w:rsid w:val="001A0FF8"/>
    <w:rsid w:val="001C3C90"/>
    <w:rsid w:val="002031D5"/>
    <w:rsid w:val="00227F39"/>
    <w:rsid w:val="00236E41"/>
    <w:rsid w:val="00260F67"/>
    <w:rsid w:val="002914C5"/>
    <w:rsid w:val="002C0D47"/>
    <w:rsid w:val="00310FF0"/>
    <w:rsid w:val="00334546"/>
    <w:rsid w:val="003911DC"/>
    <w:rsid w:val="003A2443"/>
    <w:rsid w:val="003D7F99"/>
    <w:rsid w:val="0044291E"/>
    <w:rsid w:val="004C0288"/>
    <w:rsid w:val="004C293B"/>
    <w:rsid w:val="004C7B0D"/>
    <w:rsid w:val="004E154D"/>
    <w:rsid w:val="004E6A0C"/>
    <w:rsid w:val="004F68A2"/>
    <w:rsid w:val="005B6100"/>
    <w:rsid w:val="00602884"/>
    <w:rsid w:val="00673758"/>
    <w:rsid w:val="006A7092"/>
    <w:rsid w:val="00732C1E"/>
    <w:rsid w:val="00793158"/>
    <w:rsid w:val="00797A98"/>
    <w:rsid w:val="007E338C"/>
    <w:rsid w:val="008144F1"/>
    <w:rsid w:val="0083551E"/>
    <w:rsid w:val="008D308A"/>
    <w:rsid w:val="008E4222"/>
    <w:rsid w:val="008F421A"/>
    <w:rsid w:val="0092585E"/>
    <w:rsid w:val="00935CC5"/>
    <w:rsid w:val="00941347"/>
    <w:rsid w:val="00967712"/>
    <w:rsid w:val="00994498"/>
    <w:rsid w:val="009C485E"/>
    <w:rsid w:val="009E2147"/>
    <w:rsid w:val="00A34BBB"/>
    <w:rsid w:val="00A82B87"/>
    <w:rsid w:val="00A9009C"/>
    <w:rsid w:val="00AD0C0A"/>
    <w:rsid w:val="00AD26F5"/>
    <w:rsid w:val="00AD367B"/>
    <w:rsid w:val="00B21855"/>
    <w:rsid w:val="00B27728"/>
    <w:rsid w:val="00B30441"/>
    <w:rsid w:val="00B447A8"/>
    <w:rsid w:val="00B61CC8"/>
    <w:rsid w:val="00B6488E"/>
    <w:rsid w:val="00BA05D7"/>
    <w:rsid w:val="00BA78B0"/>
    <w:rsid w:val="00C249E2"/>
    <w:rsid w:val="00C542F7"/>
    <w:rsid w:val="00C6715C"/>
    <w:rsid w:val="00C74D4D"/>
    <w:rsid w:val="00CB7179"/>
    <w:rsid w:val="00D30A2D"/>
    <w:rsid w:val="00D604D5"/>
    <w:rsid w:val="00D82E5F"/>
    <w:rsid w:val="00D922D5"/>
    <w:rsid w:val="00DB7E1D"/>
    <w:rsid w:val="00E63E06"/>
    <w:rsid w:val="00F0289C"/>
    <w:rsid w:val="00F336A0"/>
    <w:rsid w:val="00F50B82"/>
    <w:rsid w:val="00F87CE5"/>
    <w:rsid w:val="00FE6055"/>
    <w:rsid w:val="134F76DA"/>
    <w:rsid w:val="13F803AD"/>
    <w:rsid w:val="169D5372"/>
    <w:rsid w:val="2192492D"/>
    <w:rsid w:val="2E59180F"/>
    <w:rsid w:val="373B464F"/>
    <w:rsid w:val="3F5E17DA"/>
    <w:rsid w:val="44360900"/>
    <w:rsid w:val="514C5B9B"/>
    <w:rsid w:val="54992EC7"/>
    <w:rsid w:val="58FB2054"/>
    <w:rsid w:val="5EA62400"/>
    <w:rsid w:val="6ADA06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qFormat="1"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4"/>
    <w:semiHidden/>
    <w:unhideWhenUsed/>
    <w:qFormat/>
    <w:uiPriority w:val="99"/>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3"/>
    <w:unhideWhenUsed/>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semiHidden/>
    <w:unhideWhenUsed/>
    <w:qFormat/>
    <w:uiPriority w:val="99"/>
    <w:rPr>
      <w:b/>
      <w:bCs/>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
    <w:name w:val="Light Shading Accent 2"/>
    <w:qFormat/>
    <w:uiPriority w:val="60"/>
    <w:rPr>
      <w:color w:val="C55A11" w:themeColor="accent2" w:themeShade="BF"/>
    </w:rPr>
    <w:tblPr>
      <w:tblBorders>
        <w:top w:val="single" w:color="ED7D31" w:themeColor="accent2" w:sz="8" w:space="0"/>
        <w:bottom w:val="single" w:color="ED7D31"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la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left w:val="nil"/>
          <w:right w:val="nil"/>
          <w:insideH w:val="nil"/>
          <w:insideV w:val="nil"/>
        </w:tcBorders>
        <w:shd w:val="clear" w:color="auto" w:fill="FADECC" w:themeFill="accent2" w:themeFillTint="3F"/>
      </w:tcPr>
    </w:tblStylePr>
  </w:style>
  <w:style w:type="character" w:styleId="11">
    <w:name w:val="annotation reference"/>
    <w:basedOn w:val="10"/>
    <w:semiHidden/>
    <w:unhideWhenUsed/>
    <w:qFormat/>
    <w:uiPriority w:val="99"/>
    <w:rPr>
      <w:sz w:val="21"/>
      <w:szCs w:val="21"/>
    </w:rPr>
  </w:style>
  <w:style w:type="character" w:customStyle="1" w:styleId="12">
    <w:name w:val="页眉 字符"/>
    <w:basedOn w:val="10"/>
    <w:link w:val="5"/>
    <w:qFormat/>
    <w:uiPriority w:val="99"/>
    <w:rPr>
      <w:sz w:val="18"/>
      <w:szCs w:val="18"/>
    </w:rPr>
  </w:style>
  <w:style w:type="character" w:customStyle="1" w:styleId="13">
    <w:name w:val="页脚 字符"/>
    <w:basedOn w:val="10"/>
    <w:link w:val="4"/>
    <w:qFormat/>
    <w:uiPriority w:val="99"/>
    <w:rPr>
      <w:sz w:val="18"/>
      <w:szCs w:val="18"/>
    </w:rPr>
  </w:style>
  <w:style w:type="character" w:customStyle="1" w:styleId="14">
    <w:name w:val="批注文字 字符"/>
    <w:basedOn w:val="10"/>
    <w:link w:val="2"/>
    <w:semiHidden/>
    <w:qFormat/>
    <w:uiPriority w:val="99"/>
  </w:style>
  <w:style w:type="character" w:customStyle="1" w:styleId="15">
    <w:name w:val="批注主题 字符"/>
    <w:basedOn w:val="14"/>
    <w:link w:val="6"/>
    <w:semiHidden/>
    <w:qFormat/>
    <w:uiPriority w:val="99"/>
    <w:rPr>
      <w:b/>
      <w:bCs/>
    </w:rPr>
  </w:style>
  <w:style w:type="character" w:customStyle="1" w:styleId="16">
    <w:name w:val="批注框文本 字符"/>
    <w:basedOn w:val="10"/>
    <w:link w:val="3"/>
    <w:semiHidden/>
    <w:qFormat/>
    <w:uiPriority w:val="99"/>
    <w:rPr>
      <w:sz w:val="18"/>
      <w:szCs w:val="18"/>
    </w:rPr>
  </w:style>
  <w:style w:type="table" w:styleId="TableGrid">
    <w:name w:val="Table Grid"/>
    <w:basedOn w:val="TableNormal"/>
    <w:uiPriority w:val="59"/>
    <w:rsid w:val="008D011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unnamedxuan</Company>
  <Pages>1</Pages>
  <Words>14</Words>
  <Characters>81</Characters>
  <Lines>1</Lines>
  <Paragraphs>1</Paragraphs>
  <TotalTime>18</TotalTime>
  <ScaleCrop>false</ScaleCrop>
  <LinksUpToDate>false</LinksUpToDate>
  <CharactersWithSpaces>94</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2014-03-05T06:43:00Z</dcterms:created>
  <dc:creator>unnamedxuan@qq.com</dc:creator>
  <cp:lastModifiedBy>三思而行丶 </cp:lastModifiedBy>
  <dcterms:modified xsi:type="dcterms:W3CDTF">2021-05-13T06:32:10Z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22EB438B6E71432982BA343865294FE5</vt:lpwstr>
  </property>
</Properties>
</file>