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  <w:tbl>
      <w:tblPr>
        <w:tblStyle w:val="TableGrid"/>
        <w:tblW w:w="82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856"/>
        <w:gridCol w:w="425"/>
        <w:gridCol w:w="1134"/>
        <w:gridCol w:w="52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562" w:type="dxa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华文仿宋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281" w:type="dxa"/>
            <w:gridSpan w:val="2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、提案第</w:t>
            </w:r>
          </w:p>
        </w:tc>
        <w:tc>
          <w:tcPr>
            <w:tcW w:w="1134" w:type="dxa"/>
          </w:tcPr>
          <w:p>
            <w:pP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20230335</w:t>
            </w:r>
          </w:p>
        </w:tc>
        <w:tc>
          <w:tcPr>
            <w:tcW w:w="5245" w:type="dxa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418" w:type="dxa"/>
            <w:gridSpan w:val="2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标    题：</w:t>
            </w:r>
          </w:p>
        </w:tc>
        <w:tc>
          <w:tcPr>
            <w:tcW w:w="6804" w:type="dxa"/>
            <w:gridSpan w:val="3"/>
          </w:tcPr>
          <w:p>
            <w:pP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关于以邮轮经济为抓手，拉动内需和发展海洋经济的提案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18" w:type="dxa"/>
            <w:gridSpan w:val="2"/>
          </w:tcPr>
          <w:p>
            <w:pPr>
              <w:tabs>
                <w:tab w:val="left" w:pos="810"/>
              </w:tabs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6804" w:type="dxa"/>
            <w:gridSpan w:val="3"/>
          </w:tcPr>
          <w:p>
            <w:pP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李其乐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418" w:type="dxa"/>
            <w:gridSpan w:val="2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6804" w:type="dxa"/>
            <w:gridSpan w:val="3"/>
          </w:tcPr>
          <w:p>
            <w:pP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18" w:type="dxa"/>
            <w:gridSpan w:val="2"/>
          </w:tcPr>
          <w:p>
            <w:pPr>
              <w:ind w:left="1400" w:hanging="1400" w:hangingChars="500"/>
              <w:rPr>
                <w:rFonts w:ascii="Times New Roman" w:eastAsia="华文仿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6804" w:type="dxa"/>
            <w:gridSpan w:val="3"/>
          </w:tcPr>
          <w:p>
            <w:pP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市交通运输局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18" w:type="dxa"/>
            <w:gridSpan w:val="2"/>
          </w:tcPr>
          <w:p>
            <w:pPr>
              <w:ind w:left="1400" w:hanging="1400" w:hangingChars="500"/>
              <w:rPr>
                <w:rFonts w:ascii="Times New Roman" w:eastAsia="华文仿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6804" w:type="dxa"/>
            <w:gridSpan w:val="3"/>
          </w:tcPr>
          <w:p>
            <w:pP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市文化广电旅游体育局,市商务局,市地方金融监督管理局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222" w:type="dxa"/>
            <w:gridSpan w:val="5"/>
          </w:tcPr>
          <w:p>
            <w:pP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案由及需要说明的情况：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222" w:type="dxa"/>
            <w:gridSpan w:val="5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当前，我国经济面临着复杂形势，需求收缩、供给冲击、预期转弱三重压力尚未明显缓解，内外部挑战依然严峻。从经济和金融周期角度看，我国经济在过去四十年基本处于扩张期，缺少应对下行周期的经验。当年香港打破经济下滑负循环的相关经验值得借鉴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　　回顾香港在1997-2003年走过的历程，可以看到香港当时经历了“经济下行&amp;mdash;&amp;mdash;预期低落&amp;mdash;&amp;mdash;需求疲弱&amp;mdash;&amp;mdash;经济进一步萎缩”的负循环。在中央政府的大力支持下，2003年签署的《内地与香港关于建立更紧密经贸关系的安排》（CEPA）开放了境内居民赴港澳自由行，使香港旅游业及相关服务业大幅增长，消费信心回升，GDP实际增速从1998-2003年平均1.6%，大幅跃升至2004-2007年平均7.4%。香港的经验表明，依托国内巨大的消费市场，通过放宽旅游促进消费，可以有效刺激需求、拉动就业、提振市场信心，是打破当时香港社会经济下滑循环的关键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　　参照香港经验，结合深圳打造国际消费中心城市和海洋中心城市的目标，建议以邮轮旅游为抓手，拉动内需和促进海洋经济的发展。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　　中国邮轮产业始于2006年，经过十几年的发展，特别是国际邮轮集团陆续在华布局，中国邮轮市场实现了爆发式增长。2019年，国际邮轮公司对中国直接经济贡献达140亿元，带动总体经济贡献358亿元，就业薪酬116亿元。作为对比，美国和欧洲作为邮轮产业最发达的两大市场，每年邮轮行业带来的直接经济贡献都在300亿美元左右，包括游客和船员消费、船供采购、船舶建造和维修以及邮轮公司在当地的总部运营等多个方面。中国邮轮市场虽然经历了快速增长期，拥有巨大的游客基础，但仍存在一系列短板，包括邮轮的设计、建造、配套服务等产业链发展滞后；国内企业参与全球邮轮市场竞争的能力有限；软性的产业生态建设滞后，邮轮文化、多渠道融资、政策和法规环境等有待完善等，整体产业的潜在价值巨大，有待进一步挖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222" w:type="dxa"/>
            <w:gridSpan w:val="5"/>
          </w:tcPr>
          <w:p>
            <w:pPr>
              <w:rPr>
                <w:rFonts w:ascii="等线" w:hAnsi="等线" w:eastAsia="等线" w:cs="等线"/>
                <w:color w:val="000000"/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意见建议：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222" w:type="dxa"/>
            <w:gridSpan w:val="5"/>
          </w:tcPr>
          <w:p>
            <w:pPr>
              <w:rPr>
                <w:rFonts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建议一、策划并推出更多邮轮精品航线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补充说明：随着国内疫情防控措施持续优化，预计2023年稳增长任务将摆在更突出位置，国内游、出境游也将逐步放开。建议深圳抓住国内旅游市场“将起未起”的窗口期，策划并推出一批优质的国内、国际优质邮轮航线，做好产品设计、营销宣传、消费补贴、港口配套服务等相关准备。在合适的时机下，率先推出蛇口邮轮母港出发的国内游、国际游航线，打造爆款邮轮旅游产品，吸引更多国内游客来深旅游消费，展现深圳开放包容、敢为人先的形象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建议二、引入国际邮轮企业设立运营总部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补充说明：参照上海、海南等地做法，尽快出台深圳促进邮轮产业发展相关法律法规、制度标准和规划，打造与国际规则衔接的邮轮业营商环境，吸引一到两家国际知名邮轮企业在深设立区域运营总部。发挥深圳在电子信息、新能源、新材料等产业的优势，聚集一批邮轮配件生产、维修保养、设计、展销等企业，打造邮轮装备制造综合产业园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建议三、便利深港资金融通，发展邮轮相关金融服务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补充说明：依托毗邻香港的区位，发挥前海在深港金融合作方面的政策优势，推动监管部门在前海实施与香港趋同的船舶融资租赁监管政策。用好深港跨境金融现有机制，借助QFLP\QDIE政策便利资金跨境流动，支持设立邮轮相关的融资或租赁基金，吸引境内外资金参与大湾区内邮轮制造和租售等交易。紧跟国际资本市场ESG发展趋势，依托香港较为成熟的绿色债券、蓝色债券、可持续发展关联贷款等金融工具，以及与国际接轨的ESG评价和披露规则，鼓励深圳邮轮产业上下游企业赴香港发行债券或上市，通过香港深度参与国际产业链分工合作，推动深圳邮轮产业向可持续、国际化方向发展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/>
            </w:r>
          </w:p>
        </w:tc>
      </w:tr>
    </w:tbl>
    <w:p>
      <w:pPr>
        <w:sectPr/>
      </w:pPr>
    </w:p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863567"/>
    </w:sdtPr>
    <w:sdtContent>
      <w:p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2E59180F"/>
    <w:rsid w:val="373B464F"/>
    <w:rsid w:val="3F5E17DA"/>
    <w:rsid w:val="44360900"/>
    <w:rsid w:val="514C5B9B"/>
    <w:rsid w:val="54992EC7"/>
    <w:rsid w:val="58FB2054"/>
    <w:rsid w:val="5EA62400"/>
    <w:rsid w:val="6ADA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14</Words>
  <Characters>81</Characters>
  <Lines>1</Lines>
  <Paragraphs>1</Paragraphs>
  <TotalTime>18</TotalTime>
  <ScaleCrop>false</ScaleCrop>
  <LinksUpToDate>false</LinksUpToDate>
  <CharactersWithSpaces>94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三思而行丶 </cp:lastModifiedBy>
  <dcterms:modified xsi:type="dcterms:W3CDTF">2021-05-13T06:32:10Z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22EB438B6E71432982BA343865294FE5</vt:lpwstr>
  </property>
</Properties>
</file>