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tbl>
      <w:tblPr>
        <w:tblStyle w:val="TableGrid"/>
        <w:tblW w:w="82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62"/>
        <w:gridCol w:w="856"/>
        <w:gridCol w:w="425"/>
        <w:gridCol w:w="1134"/>
        <w:gridCol w:w="52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9" w:hRule="atLeast"/>
        </w:trPr>
        <w:tc>
          <w:tcPr>
            <w:tcW w:w="562" w:type="dxa"/>
          </w:tcPr>
          <w:p>
            <w:pPr>
              <w:rPr>
                <w:color w:val="000000" w:themeColor="text1"/>
                <w14:textFill>
                  <w14:solidFill>
                    <w14:schemeClr w14:val="tx1"/>
                  </w14:solidFill>
                </w14:textFill>
              </w:rPr>
            </w:pPr>
            <w:r>
              <w:rPr>
                <w:rFonts w:ascii="Times New Roman" w:eastAsia="华文仿宋"/>
                <w:color w:val="000000" w:themeColor="text1"/>
                <w:sz w:val="32"/>
                <w14:textFill>
                  <w14:solidFill>
                    <w14:schemeClr w14:val="tx1"/>
                  </w14:solidFill>
                </w14:textFill>
              </w:rPr>
              <w:t>19</w:t>
            </w:r>
          </w:p>
        </w:tc>
        <w:tc>
          <w:tcPr>
            <w:tcW w:w="1281" w:type="dxa"/>
            <w:gridSpan w:val="2"/>
          </w:tcPr>
          <w:p>
            <w:pPr>
              <w:rPr>
                <w:color w:val="000000" w:themeColor="text1"/>
                <w14:textFill>
                  <w14:solidFill>
                    <w14:schemeClr w14:val="tx1"/>
                  </w14:solidFill>
                </w14:textFill>
              </w:rPr>
            </w:pPr>
            <w:r>
              <w:rPr>
                <w:rFonts w:hint="eastAsia" w:ascii="Times New Roman" w:eastAsia="华文仿宋"/>
                <w:color w:val="000000" w:themeColor="text1"/>
                <w:sz w:val="32"/>
                <w14:textFill>
                  <w14:solidFill>
                    <w14:schemeClr w14:val="tx1"/>
                  </w14:solidFill>
                </w14:textFill>
              </w:rPr>
              <w:t>、提案第</w:t>
            </w:r>
          </w:p>
        </w:tc>
        <w:tc>
          <w:tcPr>
            <w:tcW w:w="1134" w:type="dxa"/>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20230350</w:t>
            </w:r>
          </w:p>
        </w:tc>
        <w:tc>
          <w:tcPr>
            <w:tcW w:w="5245" w:type="dxa"/>
          </w:tcPr>
          <w:p>
            <w:pPr>
              <w:rPr>
                <w:color w:val="000000" w:themeColor="text1"/>
                <w14:textFill>
                  <w14:solidFill>
                    <w14:schemeClr w14:val="tx1"/>
                  </w14:solidFill>
                </w14:textFill>
              </w:rPr>
            </w:pPr>
            <w:r>
              <w:rPr>
                <w:rFonts w:hint="eastAsia" w:ascii="Times New Roman" w:eastAsia="华文仿宋"/>
                <w:color w:val="000000" w:themeColor="text1"/>
                <w:sz w:val="32"/>
                <w14:textFill>
                  <w14:solidFill>
                    <w14:schemeClr w14:val="tx1"/>
                  </w14:solidFill>
                </w14:textFill>
              </w:rPr>
              <w:t>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1" w:hRule="atLeast"/>
        </w:trPr>
        <w:tc>
          <w:tcPr>
            <w:tcW w:w="1418" w:type="dxa"/>
            <w:gridSpan w:val="2"/>
          </w:tcPr>
          <w:p>
            <w:pPr>
              <w:rPr>
                <w:color w:val="000000" w:themeColor="text1"/>
                <w14:textFill>
                  <w14:solidFill>
                    <w14:schemeClr w14:val="tx1"/>
                  </w14:solidFill>
                </w14:textFill>
              </w:rPr>
            </w:pPr>
            <w:r>
              <w:rPr>
                <w:rFonts w:hint="eastAsia" w:ascii="黑体" w:eastAsia="黑体"/>
                <w:color w:val="000000" w:themeColor="text1"/>
                <w:sz w:val="28"/>
                <w14:textFill>
                  <w14:solidFill>
                    <w14:schemeClr w14:val="tx1"/>
                  </w14:solidFill>
                </w14:textFill>
              </w:rPr>
              <w:t>标    题：</w:t>
            </w:r>
          </w:p>
        </w:tc>
        <w:tc>
          <w:tcPr>
            <w:tcW w:w="6804" w:type="dxa"/>
            <w:gridSpan w:val="3"/>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关于推动蛇口港在前海合作区中展现新作为的提案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6" w:hRule="atLeast"/>
        </w:trPr>
        <w:tc>
          <w:tcPr>
            <w:tcW w:w="1418" w:type="dxa"/>
            <w:gridSpan w:val="2"/>
          </w:tcPr>
          <w:p>
            <w:pPr>
              <w:tabs>
                <w:tab w:val="left" w:pos="810"/>
              </w:tabs>
              <w:rPr>
                <w:color w:val="000000" w:themeColor="text1"/>
                <w14:textFill>
                  <w14:solidFill>
                    <w14:schemeClr w14:val="tx1"/>
                  </w14:solidFill>
                </w14:textFill>
              </w:rPr>
            </w:pPr>
            <w:r>
              <w:rPr>
                <w:rFonts w:hint="eastAsia" w:ascii="黑体" w:eastAsia="黑体"/>
                <w:color w:val="000000" w:themeColor="text1"/>
                <w:sz w:val="28"/>
                <w14:textFill>
                  <w14:solidFill>
                    <w14:schemeClr w14:val="tx1"/>
                  </w14:solidFill>
                </w14:textFill>
              </w:rPr>
              <w:t>提 出 人：</w:t>
            </w:r>
          </w:p>
        </w:tc>
        <w:tc>
          <w:tcPr>
            <w:tcW w:w="6804" w:type="dxa"/>
            <w:gridSpan w:val="3"/>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特邀香港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1418" w:type="dxa"/>
            <w:gridSpan w:val="2"/>
          </w:tcPr>
          <w:p>
            <w:pPr>
              <w:rPr>
                <w:color w:val="000000" w:themeColor="text1"/>
                <w14:textFill>
                  <w14:solidFill>
                    <w14:schemeClr w14:val="tx1"/>
                  </w14:solidFill>
                </w14:textFill>
              </w:rPr>
            </w:pPr>
            <w:r>
              <w:rPr>
                <w:rFonts w:hint="eastAsia" w:ascii="黑体" w:eastAsia="黑体"/>
                <w:color w:val="000000" w:themeColor="text1"/>
                <w:sz w:val="28"/>
                <w14:textFill>
                  <w14:solidFill>
                    <w14:schemeClr w14:val="tx1"/>
                  </w14:solidFill>
                </w14:textFill>
              </w:rPr>
              <w:t>办理类型：</w:t>
            </w:r>
          </w:p>
        </w:tc>
        <w:tc>
          <w:tcPr>
            <w:tcW w:w="6804" w:type="dxa"/>
            <w:gridSpan w:val="3"/>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主办会办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1418" w:type="dxa"/>
            <w:gridSpan w:val="2"/>
          </w:tcPr>
          <w:p>
            <w:pPr>
              <w:ind w:left="1400" w:hanging="1400" w:hangingChars="500"/>
              <w:rPr>
                <w:rFonts w:ascii="Times New Roman" w:eastAsia="华文仿宋"/>
                <w:color w:val="000000" w:themeColor="text1"/>
                <w:sz w:val="28"/>
                <w14:textFill>
                  <w14:solidFill>
                    <w14:schemeClr w14:val="tx1"/>
                  </w14:solidFill>
                </w14:textFill>
              </w:rPr>
            </w:pPr>
            <w:r>
              <w:rPr>
                <w:rFonts w:hint="eastAsia" w:ascii="黑体" w:eastAsia="黑体"/>
                <w:color w:val="000000" w:themeColor="text1"/>
                <w:sz w:val="28"/>
                <w14:textFill>
                  <w14:solidFill>
                    <w14:schemeClr w14:val="tx1"/>
                  </w14:solidFill>
                </w14:textFill>
              </w:rPr>
              <w:t>主办单位：</w:t>
            </w:r>
          </w:p>
        </w:tc>
        <w:tc>
          <w:tcPr>
            <w:tcW w:w="6804" w:type="dxa"/>
            <w:gridSpan w:val="3"/>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市交通运输局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1418" w:type="dxa"/>
            <w:gridSpan w:val="2"/>
          </w:tcPr>
          <w:p>
            <w:pPr>
              <w:ind w:left="1400" w:hanging="1400" w:hangingChars="500"/>
              <w:rPr>
                <w:rFonts w:ascii="Times New Roman" w:eastAsia="华文仿宋"/>
                <w:color w:val="000000" w:themeColor="text1"/>
                <w:sz w:val="28"/>
                <w14:textFill>
                  <w14:solidFill>
                    <w14:schemeClr w14:val="tx1"/>
                  </w14:solidFill>
                </w14:textFill>
              </w:rPr>
            </w:pPr>
            <w:r>
              <w:rPr>
                <w:rFonts w:hint="eastAsia" w:ascii="黑体" w:eastAsia="黑体"/>
                <w:color w:val="000000" w:themeColor="text1"/>
                <w:sz w:val="28"/>
                <w14:textFill>
                  <w14:solidFill>
                    <w14:schemeClr w14:val="tx1"/>
                  </w14:solidFill>
                </w14:textFill>
              </w:rPr>
              <w:t>会办单位：</w:t>
            </w:r>
          </w:p>
        </w:tc>
        <w:tc>
          <w:tcPr>
            <w:tcW w:w="6804" w:type="dxa"/>
            <w:gridSpan w:val="3"/>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南山区人民政府,市文化广电旅游体育局,市规划和自然资源局,市轨道办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3" w:hRule="atLeast"/>
        </w:trPr>
        <w:tc>
          <w:tcPr>
            <w:tcW w:w="8222" w:type="dxa"/>
            <w:gridSpan w:val="5"/>
          </w:tcPr>
          <w:p>
            <w:pPr>
              <w:rPr>
                <w:rFonts w:ascii="华文仿宋" w:hAnsi="华文仿宋" w:eastAsia="华文仿宋"/>
                <w:color w:val="000000" w:themeColor="text1"/>
                <w:sz w:val="28"/>
                <w:szCs w:val="28"/>
                <w14:textFill>
                  <w14:solidFill>
                    <w14:schemeClr w14:val="tx1"/>
                  </w14:solidFill>
                </w14:textFill>
              </w:rPr>
            </w:pPr>
            <w:r>
              <w:rPr>
                <w:rFonts w:hint="eastAsia" w:ascii="黑体" w:eastAsia="黑体"/>
                <w:color w:val="000000" w:themeColor="text1"/>
                <w:sz w:val="28"/>
                <w14:textFill>
                  <w14:solidFill>
                    <w14:schemeClr w14:val="tx1"/>
                  </w14:solidFill>
                </w14:textFill>
              </w:rPr>
              <w:t>案由及需要说明的情况：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222" w:type="dxa"/>
            <w:gridSpan w:val="5"/>
          </w:tcPr>
          <w:p>
            <w:pPr>
              <w:rPr>
                <w:rFonts w:asciiTheme="minorEastAsia" w:hAnsiTheme="minorEastAsia"/>
                <w:color w:val="000000" w:themeColor="text1"/>
                <w:sz w:val="24"/>
                <w:szCs w:val="24"/>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 xml:space="preserve">    深圳与香港山水相依，深港合作从一开始便以改革开放为内核，而蛇口就是深港接轨的第一站。蛇口港最初是方便招商局员工往返深港而建，后来成为深圳市民往返周边城市的交通枢纽，坐船一小时便可直达香港中环。随着香港北部都会区计划的推出，让蛇口在深港合作中的特殊优势再次彰显。从地理位置而言，蛇口正好处在前海合作区与香港北部都会区的V型交汇点，成为内陆与香港关联度最高、合作最紧密的区域之一，在支持香港融入国家发展大局中发挥突出作用。蛇口港在此背景下更被赋予要加快提升运转效率、完成枢纽体系的发展要求。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然而，蛇口港作为曾经的旅客水路运输主力，近年作用逐渐被下降，原因有三。一是随着我国高铁网络日渐形成，高铁已经成为大多数人出游的首选交通方式，水路出行市场受到挤压；二是蛇口港在规模快速扩张的过程中，累积起来的旅游资源被忽视；三是以蛇口港为枢纽的联运体系有待完善，突出表现在地铁与蛇口港之间未完成无缝接驳，市民出了地铁口还需要搭乘公交或计程车才能抵达目的地，增加了出行的不适度。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在大湾区融合发展背景下，蛇口港如何展现新作为，促进香港青年融入大湾区发展是我们值得关注的问题。（执笔人：蚁龙委员18600546733）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7" w:hRule="atLeast"/>
        </w:trPr>
        <w:tc>
          <w:tcPr>
            <w:tcW w:w="8222" w:type="dxa"/>
            <w:gridSpan w:val="5"/>
          </w:tcPr>
          <w:p>
            <w:pPr>
              <w:rPr>
                <w:rFonts w:ascii="等线" w:hAnsi="等线" w:eastAsia="等线" w:cs="等线"/>
                <w:color w:val="000000"/>
              </w:rPr>
            </w:pPr>
            <w:r>
              <w:rPr>
                <w:rFonts w:hint="eastAsia" w:ascii="黑体" w:eastAsia="黑体"/>
                <w:color w:val="000000" w:themeColor="text1"/>
                <w:sz w:val="28"/>
                <w14:textFill>
                  <w14:solidFill>
                    <w14:schemeClr w14:val="tx1"/>
                  </w14:solidFill>
                </w14:textFill>
              </w:rPr>
              <w:t>意见建议：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222" w:type="dxa"/>
            <w:gridSpan w:val="5"/>
          </w:tcPr>
          <w:p>
            <w:pPr>
              <w:rPr>
                <w:rFonts w:ascii="等线" w:hAnsi="等线" w:eastAsia="等线"/>
                <w:color w:val="000000" w:themeColor="text1"/>
                <w:szCs w:val="21"/>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 xml:space="preserve">    建议一、优化航线规划，尽快增加蛇口港往返香港机场的直通航线航班数量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补充说明：2023年1月8日，蛇口港已恢复与香港的航线，这意味着深港两地将恢复疫情前频繁的商务往来、热闹的跨境旅游景象。对于出入境而言，香港是最重要的中转站，而经水路从蛇口港前往香港机场是最方便快捷的方式。此前受疫情和航班熔断的原因，市民出行受阻，现时适逢春节及寒假假期，市场有巨大的出行需求待释放。建议政府部门根据政策更新及旅客出行的实际需求适时优化调整蛇口港往返香港机场的直通航线航班数量，此举将会对促进两地人流、资金流、信息流、技术流等要素顺畅流动和聚集。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建议二、整合、盘活蛇口港港口岸线资源，积极探索深港两地跨境文旅+交通大融合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补充说明：建议政府需要考虑进一步发挥蛇口港枢纽作用，通过整合、盘活资源，积极探索港口岸线开发利用新模式。可考虑以文化和旅游项目建设为抓手，打造深港两地文旅跨境新模式，通过对蛇口港升级改造，积极尝试多元化业务运营，如打造船上特色购物集市等，吸引深港两地居民开展跨境旅游和商务往来。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建议三、发挥蛇口港优势，吸引港澳青年融入大湾区创新创业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补充说明：随着前海高端产业与香港北部科创产业的推进，经蛇口港这一交通枢纽可以把深圳积累的科技创新经验带到香港北部都会区，亦可把香港的服务贸易优势融入大前海合作区，蛇口势将成为国际国内高端人才融汇之地。基于来往香港便利，氛围开放包容，蛇口成为不少香港青年首选的居住地。因此建议通过优化蛇口港港口功能，加快实施蛇口港公共交通接驳设施改造，结合地铁建设，重新设计规划地铁口至港口码头的接驳交通，改善路面公交场站、出租车站、社会车辆停车场、口岸周边区域交通线路，建设立体化的综合交通接驳体系。并以蛇口港为交通支点，多措并举打造一流的交通营商环境吸引港澳青年和优秀的国际人才在蛇口就业、创业和生活，打通深圳与港澳的创业就业市场。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建议四、利用好蛇口港与港澳的交通衔接，发挥前海的政策利好，深化建设前海深港现代服务业和先进制造业融合发展示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补充说明：鉴于深圳和澳门没有陆路相连，从深圳去澳门需要乘船前往，蛇口港则是最方便的选择。建议优化蛇口港的线位和功能，形成兼顾香港机场联络线和澳门城际服务功能的轨道线路。经蛇口港把港澳、前海合作区串联起来形成一个大型的经济社会发展走廊，通过跨境交通的整体优化，深化建设前海深港现代服务业和先进制造业融合发展示范区。这不仅可以提升航线的综合价值，也对促进港澳青年融入大湾区发展具有重要的意义。
</w:t>
            </w:r>
            <w:r>
              <w:rPr>
                <w:rFonts w:ascii="华文仿宋" w:hAnsi="华文仿宋" w:eastAsia="华文仿宋"/>
                <w:color w:val="000000" w:themeColor="text1"/>
                <w:sz w:val="28"/>
                <w:szCs w:val="28"/>
                <w14:textFill>
                  <w14:solidFill>
                    <w14:schemeClr w14:val="tx1"/>
                  </w14:solidFill>
                </w14:textFill>
              </w:rPr>
              <w:br/>
            </w:r>
          </w:p>
        </w:tc>
      </w:tr>
    </w:tbl>
    <w:p>
      <w:pPr>
        <w:sectPr/>
      </w:pPr>
    </w:p>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9863567"/>
    </w:sdtPr>
    <w:sdtContent>
      <w:p>
        <w:pPr>
          <w:pStyle w:val="4"/>
          <w:jc w:val="right"/>
        </w:pPr>
        <w:r>
          <w:fldChar w:fldCharType="begin"/>
        </w:r>
        <w:r>
          <w:instrText xml:space="preserve">PAGE   \* MERGEFORMAT</w:instrText>
        </w:r>
        <w:r>
          <w:fldChar w:fldCharType="separate"/>
        </w:r>
        <w:r>
          <w:rPr>
            <w:lang w:val="zh-CN"/>
          </w:rPr>
          <w:t>1</w:t>
        </w:r>
        <w: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41E6"/>
    <w:rsid w:val="00042432"/>
    <w:rsid w:val="000D41E6"/>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73758"/>
    <w:rsid w:val="006A7092"/>
    <w:rsid w:val="00732C1E"/>
    <w:rsid w:val="00793158"/>
    <w:rsid w:val="00797A98"/>
    <w:rsid w:val="007E338C"/>
    <w:rsid w:val="008144F1"/>
    <w:rsid w:val="0083551E"/>
    <w:rsid w:val="008D308A"/>
    <w:rsid w:val="008E4222"/>
    <w:rsid w:val="008F421A"/>
    <w:rsid w:val="0092585E"/>
    <w:rsid w:val="00935CC5"/>
    <w:rsid w:val="0094134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542F7"/>
    <w:rsid w:val="00C6715C"/>
    <w:rsid w:val="00C74D4D"/>
    <w:rsid w:val="00CB7179"/>
    <w:rsid w:val="00D30A2D"/>
    <w:rsid w:val="00D604D5"/>
    <w:rsid w:val="00D82E5F"/>
    <w:rsid w:val="00D922D5"/>
    <w:rsid w:val="00DB7E1D"/>
    <w:rsid w:val="00E63E06"/>
    <w:rsid w:val="00F0289C"/>
    <w:rsid w:val="00F336A0"/>
    <w:rsid w:val="00F50B82"/>
    <w:rsid w:val="00F87CE5"/>
    <w:rsid w:val="00FE6055"/>
    <w:rsid w:val="134F76DA"/>
    <w:rsid w:val="13F803AD"/>
    <w:rsid w:val="169D5372"/>
    <w:rsid w:val="2192492D"/>
    <w:rsid w:val="2E59180F"/>
    <w:rsid w:val="373B464F"/>
    <w:rsid w:val="3F5E17DA"/>
    <w:rsid w:val="44360900"/>
    <w:rsid w:val="514C5B9B"/>
    <w:rsid w:val="54992EC7"/>
    <w:rsid w:val="58FB2054"/>
    <w:rsid w:val="5EA62400"/>
    <w:rsid w:val="6ADA0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3"/>
    <w:unhideWhenUsed/>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Light Shading Accent 2"/>
    <w:qFormat/>
    <w:uiPriority w:val="60"/>
    <w:rPr>
      <w:color w:val="C55A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character" w:customStyle="1" w:styleId="14">
    <w:name w:val="批注文字 字符"/>
    <w:basedOn w:val="10"/>
    <w:link w:val="2"/>
    <w:semiHidden/>
    <w:qFormat/>
    <w:uiPriority w:val="99"/>
  </w:style>
  <w:style w:type="character" w:customStyle="1" w:styleId="15">
    <w:name w:val="批注主题 字符"/>
    <w:basedOn w:val="14"/>
    <w:link w:val="6"/>
    <w:semiHidden/>
    <w:qFormat/>
    <w:uiPriority w:val="99"/>
    <w:rPr>
      <w:b/>
      <w:bCs/>
    </w:rPr>
  </w:style>
  <w:style w:type="character" w:customStyle="1" w:styleId="16">
    <w:name w:val="批注框文本 字符"/>
    <w:basedOn w:val="10"/>
    <w:link w:val="3"/>
    <w:semiHidden/>
    <w:qFormat/>
    <w:uiPriority w:val="99"/>
    <w:rPr>
      <w:sz w:val="18"/>
      <w:szCs w:val="18"/>
    </w:rPr>
  </w:style>
  <w:style w:type="table" w:styleId="TableGrid">
    <w:name w:val="Table Grid"/>
    <w:basedOn w:val="TableNormal"/>
    <w:uiPriority w:val="59"/>
    <w:rsid w:val="008D01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unnamedxuan</Company>
  <Pages>1</Pages>
  <Words>14</Words>
  <Characters>81</Characters>
  <Lines>1</Lines>
  <Paragraphs>1</Paragraphs>
  <TotalTime>18</TotalTime>
  <ScaleCrop>false</ScaleCrop>
  <LinksUpToDate>false</LinksUpToDate>
  <CharactersWithSpaces>94</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2014-03-05T06:43:00Z</dcterms:created>
  <dc:creator>unnamedxuan@qq.com</dc:creator>
  <cp:lastModifiedBy>三思而行丶 </cp:lastModifiedBy>
  <dcterms:modified xsi:type="dcterms:W3CDTF">2021-05-13T06:32:10Z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22EB438B6E71432982BA343865294FE5</vt:lpwstr>
  </property>
</Properties>
</file>