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color w:val="auto"/>
        </w:rPr>
      </w:pPr>
      <w:r>
        <w:rPr>
          <w:color w:val="auto"/>
        </w:rPr>
        <w:fldChar w:fldCharType="begin"/>
      </w:r>
      <w:r>
        <w:rPr>
          <w:color w:val="auto"/>
        </w:rPr>
        <w:instrText xml:space="preserve">ADDIN CNKISM.UserStyle</w:instrText>
      </w:r>
      <w:r>
        <w:rPr>
          <w:color w:val="auto"/>
        </w:rPr>
        <w:fldChar w:fldCharType="end"/>
      </w:r>
      <w:r>
        <w:rPr>
          <w:color w:val="auto"/>
        </w:rPr>
        <mc:AlternateContent>
          <mc:Choice Requires="wps">
            <w:drawing>
              <wp:anchor distT="0" distB="0" distL="114300" distR="114300" simplePos="0" relativeHeight="251661312" behindDoc="0" locked="0" layoutInCell="1" allowOverlap="1">
                <wp:simplePos x="0" y="0"/>
                <wp:positionH relativeFrom="page">
                  <wp:posOffset>374650</wp:posOffset>
                </wp:positionH>
                <wp:positionV relativeFrom="page">
                  <wp:posOffset>8417560</wp:posOffset>
                </wp:positionV>
                <wp:extent cx="2555875" cy="44640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2556000" cy="446400"/>
                        </a:xfrm>
                        <a:prstGeom prst="rect">
                          <a:avLst/>
                        </a:prstGeom>
                        <a:noFill/>
                        <a:ln w="6350">
                          <a:noFill/>
                        </a:ln>
                        <a:effectLst/>
                      </wps:spPr>
                      <wps:txb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5pt;margin-top:662.8pt;height:35.15pt;width:201.25pt;mso-position-horizontal-relative:page;mso-position-vertical-relative:page;z-index:251661312;mso-width-relative:page;mso-height-relative:page;" filled="f" stroked="f" coordsize="21600,21600" o:gfxdata="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h/xIZ3AAAAAwBAAAPAAAAAAAAAAEAIAAAADgA&#10;AABkcnMvZG93bnJldi54bWxQSwECFAAUAAAACACHTuJAT3aomygCAAAyBAAADgAAAAAAAAABACAA&#10;AABBAQAAZHJzL2Uyb0RvYy54bWxQSwUGAAAAAAYABgBZAQAA2wU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发布</w:t>
                      </w:r>
                    </w:p>
                  </w:txbxContent>
                </v:textbox>
              </v:shape>
            </w:pict>
          </mc:Fallback>
        </mc:AlternateContent>
      </w:r>
      <w:r>
        <w:rPr>
          <w:color w:val="auto"/>
        </w:rPr>
        <mc:AlternateContent>
          <mc:Choice Requires="wps">
            <w:drawing>
              <wp:anchor distT="0" distB="0" distL="114300" distR="114300" simplePos="0" relativeHeight="251658240" behindDoc="0" locked="0" layoutInCell="1" allowOverlap="1">
                <wp:simplePos x="0" y="0"/>
                <wp:positionH relativeFrom="page">
                  <wp:posOffset>5288915</wp:posOffset>
                </wp:positionH>
                <wp:positionV relativeFrom="page">
                  <wp:posOffset>648335</wp:posOffset>
                </wp:positionV>
                <wp:extent cx="1979930" cy="134302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980000" cy="1342800"/>
                        </a:xfrm>
                        <a:prstGeom prst="rect">
                          <a:avLst/>
                        </a:prstGeom>
                        <a:noFill/>
                        <a:ln w="6350">
                          <a:noFill/>
                        </a:ln>
                        <a:effectLst/>
                      </wps:spPr>
                      <wps:txbx>
                        <w:txbxContent>
                          <w:p>
                            <w:pPr>
                              <w:rPr>
                                <w:sz w:val="144"/>
                                <w:szCs w:val="144"/>
                              </w:rPr>
                            </w:pPr>
                            <w:r>
                              <w:rPr>
                                <w:b/>
                                <w:bCs/>
                                <w:sz w:val="144"/>
                                <w:szCs w:val="144"/>
                              </w:rPr>
                              <w:t>SJG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6.45pt;margin-top:51.05pt;height:105.75pt;width:155.9pt;mso-position-horizontal-relative:page;mso-position-vertical-relative:page;z-index:251658240;mso-width-relative:page;mso-height-relative:page;" filled="f" stroked="f" coordsize="21600,21600" o:gfxdata="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U6lfk3AAAAAwBAAAPAAAAAAAAAAEAIAAA&#10;ADgAAABkcnMvZG93bnJldi54bWxQSwECFAAUAAAACACHTuJAs1witysCAAAxBAAADgAAAAAAAAAB&#10;ACAAAABBAQAAZHJzL2Uyb0RvYy54bWxQSwUGAAAAAAYABgBZAQAA3gUAAAAA&#10;">
                <v:fill on="f" focussize="0,0"/>
                <v:stroke on="f" weight="0.5pt"/>
                <v:imagedata o:title=""/>
                <o:lock v:ext="edit" aspectratio="f"/>
                <v:textbox>
                  <w:txbxContent>
                    <w:p>
                      <w:pPr>
                        <w:rPr>
                          <w:sz w:val="144"/>
                          <w:szCs w:val="144"/>
                        </w:rPr>
                      </w:pPr>
                      <w:r>
                        <w:rPr>
                          <w:b/>
                          <w:bCs/>
                          <w:sz w:val="144"/>
                          <w:szCs w:val="144"/>
                        </w:rPr>
                        <w:t>SJG</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4993640</wp:posOffset>
                </wp:positionH>
                <wp:positionV relativeFrom="page">
                  <wp:posOffset>2030730</wp:posOffset>
                </wp:positionV>
                <wp:extent cx="2181860" cy="61277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181600" cy="612775"/>
                        </a:xfrm>
                        <a:prstGeom prst="rect">
                          <a:avLst/>
                        </a:prstGeom>
                        <a:noFill/>
                        <a:ln w="6350">
                          <a:noFill/>
                        </a:ln>
                        <a:effectLst/>
                      </wps:spPr>
                      <wps:txbx>
                        <w:txbxContent>
                          <w:p>
                            <w:pPr>
                              <w:jc w:val="distribute"/>
                              <w:rPr>
                                <w:rFonts w:hint="default" w:eastAsia="黑体"/>
                                <w:b/>
                                <w:bCs/>
                                <w:spacing w:val="20"/>
                                <w:sz w:val="48"/>
                                <w:szCs w:val="48"/>
                                <w:lang w:val="e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default" w:eastAsia="黑体"/>
                                <w:b/>
                                <w:bCs/>
                                <w:spacing w:val="-11"/>
                                <w:sz w:val="44"/>
                                <w:szCs w:val="44"/>
                                <w:lang w:val="en"/>
                              </w:rPr>
                              <w:t>5</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3.2pt;margin-top:159.9pt;height:48.25pt;width:171.8pt;mso-position-horizontal-relative:page;mso-position-vertical-relative:page;z-index:251659264;mso-width-relative:page;mso-height-relative:page;" filled="f" stroked="f" coordsize="21600,21600" o:gfxdata="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QDdwB3QAAAAwBAAAPAAAAAAAAAAEAIAAA&#10;ADgAAABkcnMvZG93bnJldi54bWxQSwECFAAUAAAACACHTuJACmfJnioCAAAwBAAADgAAAAAAAAAB&#10;ACAAAABCAQAAZHJzL2Uyb0RvYy54bWxQSwUGAAAAAAYABgBZAQAA3gUAAAAA&#10;">
                <v:fill on="f" focussize="0,0"/>
                <v:stroke on="f" weight="0.5pt"/>
                <v:imagedata o:title=""/>
                <o:lock v:ext="edit" aspectratio="f"/>
                <v:textbox>
                  <w:txbxContent>
                    <w:p>
                      <w:pPr>
                        <w:jc w:val="distribute"/>
                        <w:rPr>
                          <w:rFonts w:hint="default" w:eastAsia="黑体"/>
                          <w:b/>
                          <w:bCs/>
                          <w:spacing w:val="20"/>
                          <w:sz w:val="48"/>
                          <w:szCs w:val="48"/>
                          <w:lang w:val="en"/>
                        </w:rPr>
                      </w:pPr>
                      <w:r>
                        <w:rPr>
                          <w:rFonts w:eastAsia="黑体"/>
                          <w:b/>
                          <w:bCs/>
                          <w:spacing w:val="-11"/>
                          <w:sz w:val="44"/>
                          <w:szCs w:val="44"/>
                        </w:rPr>
                        <w:t xml:space="preserve">SJG XXX </w:t>
                      </w:r>
                      <w:r>
                        <w:rPr>
                          <w:b/>
                          <w:bCs/>
                          <w:spacing w:val="-11"/>
                          <w:sz w:val="44"/>
                          <w:szCs w:val="44"/>
                        </w:rPr>
                        <w:t>–</w:t>
                      </w:r>
                      <w:r>
                        <w:rPr>
                          <w:rFonts w:eastAsia="黑体"/>
                          <w:b/>
                          <w:bCs/>
                          <w:spacing w:val="-11"/>
                          <w:sz w:val="44"/>
                          <w:szCs w:val="44"/>
                        </w:rPr>
                        <w:t xml:space="preserve"> 202</w:t>
                      </w:r>
                      <w:r>
                        <w:rPr>
                          <w:rFonts w:hint="default" w:eastAsia="黑体"/>
                          <w:b/>
                          <w:bCs/>
                          <w:spacing w:val="-11"/>
                          <w:sz w:val="44"/>
                          <w:szCs w:val="44"/>
                          <w:lang w:val="en"/>
                        </w:rPr>
                        <w:t>5</w:t>
                      </w:r>
                    </w:p>
                  </w:txbxContent>
                </v:textbox>
              </v:shap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page">
                  <wp:posOffset>-93345</wp:posOffset>
                </wp:positionH>
                <wp:positionV relativeFrom="page">
                  <wp:posOffset>2642870</wp:posOffset>
                </wp:positionV>
                <wp:extent cx="7718425" cy="0"/>
                <wp:effectExtent l="0" t="9525" r="15875" b="9525"/>
                <wp:wrapNone/>
                <wp:docPr id="6" name="直接连接符 6"/>
                <wp:cNvGraphicFramePr/>
                <a:graphic xmlns:a="http://schemas.openxmlformats.org/drawingml/2006/main">
                  <a:graphicData uri="http://schemas.microsoft.com/office/word/2010/wordprocessingShape">
                    <wps:wsp>
                      <wps:cNvCnPr/>
                      <wps:spPr>
                        <a:xfrm>
                          <a:off x="0" y="0"/>
                          <a:ext cx="77184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35pt;margin-top:208.1pt;height:0pt;width:607.75pt;mso-position-horizontal-relative:page;mso-position-vertical-relative:page;z-index:251665408;mso-width-relative:page;mso-height-relative:page;" filled="f" stroked="t" coordsize="21600,21600" o:gfxdata="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up&#10;R27WAAAADAEAAA8AAAAAAAAAAQAgAAAAOAAAAGRycy9kb3ducmV2LnhtbFBLAQIUABQAAAAIAIdO&#10;4kC+melI1gEAAJkDAAAOAAAAAAAAAAEAIAAAADsBAABkcnMvZTJvRG9jLnhtbFBLBQYAAAAABgAG&#10;AFkBAACDBQAAAAA=&#10;">
                <v:fill on="f" focussize="0,0"/>
                <v:stroke weight="1.5pt" color="#000000" joinstyle="round"/>
                <v:imagedata o:title=""/>
                <o:lock v:ext="edit" aspectratio="f"/>
              </v:line>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page">
                  <wp:posOffset>4561840</wp:posOffset>
                </wp:positionH>
                <wp:positionV relativeFrom="page">
                  <wp:posOffset>8417560</wp:posOffset>
                </wp:positionV>
                <wp:extent cx="2577465" cy="446405"/>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2577600" cy="446400"/>
                        </a:xfrm>
                        <a:prstGeom prst="rect">
                          <a:avLst/>
                        </a:prstGeom>
                        <a:noFill/>
                        <a:ln w="6350">
                          <a:noFill/>
                        </a:ln>
                        <a:effectLst/>
                      </wps:spPr>
                      <wps:txb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9.2pt;margin-top:662.8pt;height:35.15pt;width:202.95pt;mso-position-horizontal-relative:page;mso-position-vertical-relative:page;z-index:251662336;mso-width-relative:page;mso-height-relative:page;" filled="f" stroked="f" coordsize="21600,21600" o:gfxdata="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M01Lzd4AAAAOAQAADwAAAAAAAAABACAA&#10;AAA4AAAAZHJzL2Rvd25yZXYueG1sUEsBAhQAFAAAAAgAh07iQEikdD4qAgAAMgQAAA4AAAAAAAAA&#10;AQAgAAAAQwEAAGRycy9lMm9Eb2MueG1sUEsFBgAAAAAGAAYAWQEAAN8FAAAAAA==&#10;">
                <v:fill on="f" focussize="0,0"/>
                <v:stroke on="f" weight="0.5pt"/>
                <v:imagedata o:title=""/>
                <o:lock v:ext="edit" aspectratio="f"/>
                <v:textbox>
                  <w:txbxContent>
                    <w:p>
                      <w:pPr>
                        <w:jc w:val="distribute"/>
                        <w:rPr>
                          <w:rFonts w:ascii="宋体" w:hAnsi="宋体" w:cs="宋体"/>
                          <w:b/>
                          <w:bCs/>
                          <w:sz w:val="40"/>
                          <w:szCs w:val="40"/>
                        </w:rPr>
                      </w:pPr>
                      <w:r>
                        <w:rPr>
                          <w:b/>
                          <w:bCs/>
                          <w:sz w:val="40"/>
                          <w:szCs w:val="40"/>
                        </w:rPr>
                        <w:t>202</w:t>
                      </w:r>
                      <w:r>
                        <w:rPr>
                          <w:rFonts w:hint="default"/>
                          <w:b/>
                          <w:bCs/>
                          <w:sz w:val="40"/>
                          <w:szCs w:val="40"/>
                          <w:lang w:val="en"/>
                        </w:rPr>
                        <w:t>5</w:t>
                      </w:r>
                      <w:r>
                        <w:rPr>
                          <w:rFonts w:hint="eastAsia" w:ascii="宋体" w:hAnsi="宋体" w:cs="宋体"/>
                          <w:b/>
                          <w:bCs/>
                          <w:spacing w:val="-11"/>
                          <w:sz w:val="40"/>
                          <w:szCs w:val="40"/>
                        </w:rPr>
                        <w:t>-</w:t>
                      </w:r>
                      <w:r>
                        <w:rPr>
                          <w:b/>
                          <w:bCs/>
                          <w:sz w:val="40"/>
                          <w:szCs w:val="40"/>
                        </w:rPr>
                        <w:t>XX</w:t>
                      </w:r>
                      <w:r>
                        <w:rPr>
                          <w:rFonts w:hint="eastAsia" w:ascii="宋体" w:hAnsi="宋体" w:cs="宋体"/>
                          <w:b/>
                          <w:bCs/>
                          <w:spacing w:val="-11"/>
                          <w:sz w:val="40"/>
                          <w:szCs w:val="40"/>
                        </w:rPr>
                        <w:t>-</w:t>
                      </w:r>
                      <w:r>
                        <w:rPr>
                          <w:b/>
                          <w:bCs/>
                          <w:sz w:val="40"/>
                          <w:szCs w:val="40"/>
                        </w:rPr>
                        <w:t>XX</w:t>
                      </w:r>
                      <w:r>
                        <w:rPr>
                          <w:rFonts w:hint="eastAsia" w:ascii="宋体" w:hAnsi="宋体" w:cs="宋体"/>
                          <w:b/>
                          <w:bCs/>
                          <w:sz w:val="40"/>
                          <w:szCs w:val="40"/>
                        </w:rPr>
                        <w:t xml:space="preserve"> </w:t>
                      </w:r>
                      <w:r>
                        <w:rPr>
                          <w:rFonts w:hint="eastAsia" w:ascii="黑体" w:hAnsi="黑体" w:eastAsia="黑体" w:cs="黑体"/>
                          <w:b/>
                          <w:bCs/>
                          <w:sz w:val="40"/>
                          <w:szCs w:val="40"/>
                        </w:rPr>
                        <w:t>实施</w:t>
                      </w:r>
                    </w:p>
                  </w:txbxContent>
                </v:textbox>
              </v:shape>
            </w:pict>
          </mc:Fallback>
        </mc:AlternateContent>
      </w:r>
    </w:p>
    <w:p>
      <w:pPr>
        <w:pStyle w:val="28"/>
        <w:spacing w:line="360" w:lineRule="auto"/>
        <w:jc w:val="center"/>
        <w:rPr>
          <w:rFonts w:hAnsi="黑体" w:cs="黑体"/>
          <w:spacing w:val="20"/>
          <w:sz w:val="32"/>
          <w:szCs w:val="32"/>
        </w:rPr>
      </w:pPr>
      <w:r>
        <mc:AlternateContent>
          <mc:Choice Requires="wps">
            <w:drawing>
              <wp:anchor distT="0" distB="0" distL="114300" distR="114300" simplePos="0" relativeHeight="251660288" behindDoc="0" locked="0" layoutInCell="1" allowOverlap="1">
                <wp:simplePos x="0" y="0"/>
                <wp:positionH relativeFrom="page">
                  <wp:posOffset>1263015</wp:posOffset>
                </wp:positionH>
                <wp:positionV relativeFrom="page">
                  <wp:posOffset>1264285</wp:posOffset>
                </wp:positionV>
                <wp:extent cx="3776980" cy="7239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3776980" cy="723600"/>
                        </a:xfrm>
                        <a:prstGeom prst="rect">
                          <a:avLst/>
                        </a:prstGeom>
                        <a:noFill/>
                        <a:ln w="6350">
                          <a:noFill/>
                        </a:ln>
                        <a:effectLst/>
                      </wps:spPr>
                      <wps:txb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99.45pt;margin-top:99.55pt;height:57pt;width:297.4pt;mso-position-horizontal-relative:page;mso-position-vertical-relative:page;z-index:251660288;mso-width-relative:page;mso-height-relative:page;" filled="f" stroked="f" coordsize="21600,21600" o:gfxdata="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aCVr22gAAAAsBAAAPAAAAAAAAAAEAIAAA&#10;ADgAAABkcnMvZG93bnJldi54bWxQSwECFAAUAAAACACHTuJAOSR0li0CAAAwBAAADgAAAAAAAAAB&#10;ACAAAAA/AQAAZHJzL2Uyb0RvYy54bWxQSwUGAAAAAAYABgBZAQAA3gUAAAAA&#10;">
                <v:fill on="f" focussize="0,0"/>
                <v:stroke on="f" weight="0.5pt"/>
                <v:imagedata o:title=""/>
                <o:lock v:ext="edit" aspectratio="f"/>
                <v:textbox>
                  <w:txbxContent>
                    <w:p>
                      <w:pPr>
                        <w:jc w:val="distribute"/>
                        <w:rPr>
                          <w:rFonts w:ascii="黑体" w:hAnsi="黑体" w:eastAsia="黑体" w:cs="黑体"/>
                          <w:b/>
                          <w:bCs/>
                          <w:spacing w:val="20"/>
                          <w:sz w:val="44"/>
                          <w:szCs w:val="44"/>
                        </w:rPr>
                      </w:pPr>
                      <w:r>
                        <w:rPr>
                          <w:rFonts w:hint="eastAsia" w:ascii="黑体" w:hAnsi="黑体" w:eastAsia="黑体" w:cs="黑体"/>
                          <w:b/>
                          <w:bCs/>
                          <w:spacing w:val="20"/>
                          <w:sz w:val="44"/>
                          <w:szCs w:val="44"/>
                        </w:rPr>
                        <w:t>深圳市工程建设地方标准</w:t>
                      </w:r>
                    </w:p>
                  </w:txbxContent>
                </v:textbox>
              </v:shape>
            </w:pict>
          </mc:Fallback>
        </mc:AlternateContent>
      </w:r>
    </w:p>
    <w:p>
      <w:pPr>
        <w:pStyle w:val="26"/>
        <w:spacing w:after="240" w:line="360" w:lineRule="auto"/>
        <w:ind w:left="480"/>
        <w:jc w:val="right"/>
        <w:rPr>
          <w:rFonts w:eastAsia="黑体"/>
          <w:b/>
          <w:bCs/>
          <w:color w:val="auto"/>
          <w:spacing w:val="-11"/>
          <w:sz w:val="28"/>
          <w:szCs w:val="28"/>
        </w:rPr>
      </w:pPr>
    </w:p>
    <w:p>
      <w:pPr>
        <w:pStyle w:val="26"/>
        <w:spacing w:after="240" w:line="360" w:lineRule="auto"/>
        <w:ind w:left="480"/>
        <w:jc w:val="right"/>
        <w:rPr>
          <w:rFonts w:eastAsia="黑体"/>
          <w:b/>
          <w:bCs/>
          <w:color w:val="auto"/>
          <w:spacing w:val="-11"/>
          <w:sz w:val="28"/>
          <w:szCs w:val="28"/>
        </w:rPr>
      </w:pPr>
    </w:p>
    <w:p>
      <w:pPr>
        <w:pStyle w:val="27"/>
        <w:spacing w:line="360" w:lineRule="auto"/>
        <w:ind w:right="3840"/>
        <w:rPr>
          <w:rFonts w:eastAsia="黑体e眠副浡渀."/>
          <w:sz w:val="96"/>
          <w:szCs w:val="96"/>
        </w:rPr>
      </w:pPr>
    </w:p>
    <w:p>
      <w:pPr>
        <w:pStyle w:val="26"/>
        <w:rPr>
          <w:color w:val="auto"/>
        </w:rPr>
      </w:pPr>
      <w:r>
        <w:rPr>
          <w:color w:val="auto"/>
        </w:rPr>
        <mc:AlternateContent>
          <mc:Choice Requires="wps">
            <w:drawing>
              <wp:anchor distT="0" distB="0" distL="114300" distR="114300" simplePos="0" relativeHeight="251667456" behindDoc="0" locked="0" layoutInCell="1" allowOverlap="1">
                <wp:simplePos x="0" y="0"/>
                <wp:positionH relativeFrom="page">
                  <wp:posOffset>1762125</wp:posOffset>
                </wp:positionH>
                <wp:positionV relativeFrom="page">
                  <wp:posOffset>3562350</wp:posOffset>
                </wp:positionV>
                <wp:extent cx="4481830" cy="5651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481929" cy="565200"/>
                        </a:xfrm>
                        <a:prstGeom prst="rect">
                          <a:avLst/>
                        </a:prstGeom>
                        <a:noFill/>
                        <a:ln w="6350">
                          <a:noFill/>
                        </a:ln>
                        <a:effectLst/>
                      </wps:spPr>
                      <wps:txbx>
                        <w:txbxContent>
                          <w:p>
                            <w:pPr>
                              <w:jc w:val="center"/>
                              <w:rPr>
                                <w:rFonts w:ascii="宋体" w:hAnsi="宋体" w:cs="黑体"/>
                                <w:b/>
                                <w:bCs/>
                                <w:spacing w:val="20"/>
                                <w:sz w:val="56"/>
                                <w:szCs w:val="56"/>
                              </w:rPr>
                            </w:pPr>
                            <w:r>
                              <w:rPr>
                                <w:rFonts w:hint="eastAsia" w:ascii="宋体" w:hAnsi="宋体" w:cs="黑体"/>
                                <w:b/>
                                <w:bCs/>
                                <w:spacing w:val="20"/>
                                <w:sz w:val="56"/>
                                <w:szCs w:val="56"/>
                              </w:rPr>
                              <w:t>道路工程低碳设计标准</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8.75pt;margin-top:280.5pt;height:44.5pt;width:352.9pt;mso-position-horizontal-relative:page;mso-position-vertical-relative:page;z-index:251667456;mso-width-relative:page;mso-height-relative:page;" filled="f" stroked="f" coordsize="21600,21600" o:gfxdata="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Hh9stXcAAAACwEAAA8AAAAAAAAAAQAgAAAA&#10;OAAAAGRycy9kb3ducmV2LnhtbFBLAQIUABQAAAAIAIdO4kBOX2lPKgIAADAEAAAOAAAAAAAAAAEA&#10;IAAAAEEBAABkcnMvZTJvRG9jLnhtbFBLBQYAAAAABgAGAFkBAADdBQAAAAA=&#10;">
                <v:fill on="f" focussize="0,0"/>
                <v:stroke on="f" weight="0.5pt"/>
                <v:imagedata o:title=""/>
                <o:lock v:ext="edit" aspectratio="f"/>
                <v:textbox>
                  <w:txbxContent>
                    <w:p>
                      <w:pPr>
                        <w:jc w:val="center"/>
                        <w:rPr>
                          <w:rFonts w:ascii="宋体" w:hAnsi="宋体" w:cs="黑体"/>
                          <w:b/>
                          <w:bCs/>
                          <w:spacing w:val="20"/>
                          <w:sz w:val="56"/>
                          <w:szCs w:val="56"/>
                        </w:rPr>
                      </w:pPr>
                      <w:r>
                        <w:rPr>
                          <w:rFonts w:hint="eastAsia" w:ascii="宋体" w:hAnsi="宋体" w:cs="黑体"/>
                          <w:b/>
                          <w:bCs/>
                          <w:spacing w:val="20"/>
                          <w:sz w:val="56"/>
                          <w:szCs w:val="56"/>
                        </w:rPr>
                        <w:t>道路工程低碳设计标准</w:t>
                      </w:r>
                    </w:p>
                  </w:txbxContent>
                </v:textbox>
              </v:shape>
            </w:pict>
          </mc:Fallback>
        </mc:AlternateContent>
      </w:r>
    </w:p>
    <w:p>
      <w:pPr>
        <w:rPr>
          <w:kern w:val="0"/>
          <w:sz w:val="44"/>
          <w:szCs w:val="44"/>
        </w:rPr>
      </w:pPr>
    </w:p>
    <w:p>
      <w:pPr>
        <w:jc w:val="left"/>
        <w:rPr>
          <w:kern w:val="0"/>
          <w:sz w:val="44"/>
          <w:szCs w:val="44"/>
        </w:rPr>
      </w:pPr>
      <w:r>
        <w:rPr>
          <w:sz w:val="24"/>
          <w:szCs w:val="24"/>
        </w:rPr>
        <mc:AlternateContent>
          <mc:Choice Requires="wps">
            <w:drawing>
              <wp:anchor distT="0" distB="0" distL="114300" distR="114300" simplePos="0" relativeHeight="251668480" behindDoc="0" locked="0" layoutInCell="1" allowOverlap="1">
                <wp:simplePos x="0" y="0"/>
                <wp:positionH relativeFrom="page">
                  <wp:posOffset>1403350</wp:posOffset>
                </wp:positionH>
                <wp:positionV relativeFrom="page">
                  <wp:posOffset>4215130</wp:posOffset>
                </wp:positionV>
                <wp:extent cx="5171440" cy="56515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171704" cy="565200"/>
                        </a:xfrm>
                        <a:prstGeom prst="rect">
                          <a:avLst/>
                        </a:prstGeom>
                        <a:noFill/>
                        <a:ln w="6350">
                          <a:noFill/>
                        </a:ln>
                        <a:effectLst/>
                      </wps:spPr>
                      <wps:txbx>
                        <w:txbxContent>
                          <w:p>
                            <w:pPr>
                              <w:jc w:val="center"/>
                              <w:rPr>
                                <w:bCs/>
                                <w:color w:val="000000"/>
                                <w:sz w:val="32"/>
                                <w:szCs w:val="32"/>
                              </w:rPr>
                            </w:pPr>
                            <w:r>
                              <w:rPr>
                                <w:bCs/>
                                <w:color w:val="000000"/>
                                <w:sz w:val="32"/>
                                <w:szCs w:val="32"/>
                              </w:rPr>
                              <w:t>Standard for Low-carbon Design of Road Engineering</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0.5pt;margin-top:331.9pt;height:44.5pt;width:407.2pt;mso-position-horizontal-relative:page;mso-position-vertical-relative:page;z-index:251668480;mso-width-relative:page;mso-height-relative:page;" filled="f" stroked="f" coordsize="21600,21600" o:gfxdata="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nygSHcAAAADAEAAA8AAAAAAAAAAQAgAAAA&#10;OAAAAGRycy9kb3ducmV2LnhtbFBLAQIUABQAAAAIAIdO4kDmB+4LKgIAADAEAAAOAAAAAAAAAAEA&#10;IAAAAEEBAABkcnMvZTJvRG9jLnhtbFBLBQYAAAAABgAGAFkBAADdBQAAAAA=&#10;">
                <v:fill on="f" focussize="0,0"/>
                <v:stroke on="f" weight="0.5pt"/>
                <v:imagedata o:title=""/>
                <o:lock v:ext="edit" aspectratio="f"/>
                <v:textbox>
                  <w:txbxContent>
                    <w:p>
                      <w:pPr>
                        <w:jc w:val="center"/>
                        <w:rPr>
                          <w:bCs/>
                          <w:color w:val="000000"/>
                          <w:sz w:val="32"/>
                          <w:szCs w:val="32"/>
                        </w:rPr>
                      </w:pPr>
                      <w:r>
                        <w:rPr>
                          <w:bCs/>
                          <w:color w:val="000000"/>
                          <w:sz w:val="32"/>
                          <w:szCs w:val="32"/>
                        </w:rPr>
                        <w:t>Standard for Low-carbon Design of Road Engineering</w:t>
                      </w:r>
                    </w:p>
                  </w:txbxContent>
                </v:textbox>
              </v:shape>
            </w:pict>
          </mc:Fallback>
        </mc:AlternateContent>
      </w:r>
    </w:p>
    <w:p>
      <w:pPr>
        <w:pStyle w:val="26"/>
        <w:spacing w:line="360" w:lineRule="auto"/>
        <w:ind w:left="480"/>
        <w:rPr>
          <w:color w:val="auto"/>
        </w:rPr>
      </w:pPr>
      <w:r>
        <w:rPr>
          <w:color w:val="auto"/>
        </w:rPr>
        <mc:AlternateContent>
          <mc:Choice Requires="wps">
            <w:drawing>
              <wp:anchor distT="0" distB="0" distL="114300" distR="114300" simplePos="0" relativeHeight="251669504" behindDoc="0" locked="0" layoutInCell="1" allowOverlap="1">
                <wp:simplePos x="0" y="0"/>
                <wp:positionH relativeFrom="page">
                  <wp:posOffset>1983105</wp:posOffset>
                </wp:positionH>
                <wp:positionV relativeFrom="page">
                  <wp:posOffset>4703445</wp:posOffset>
                </wp:positionV>
                <wp:extent cx="4034790" cy="56515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4034790" cy="565150"/>
                        </a:xfrm>
                        <a:prstGeom prst="rect">
                          <a:avLst/>
                        </a:prstGeom>
                        <a:noFill/>
                        <a:ln w="6350">
                          <a:noFill/>
                        </a:ln>
                        <a:effectLst/>
                      </wps:spPr>
                      <wps:txbx>
                        <w:txbxContent>
                          <w:p>
                            <w:pPr>
                              <w:jc w:val="center"/>
                              <w:rPr>
                                <w:rFonts w:ascii="宋体" w:hAnsi="宋体" w:cs="黑体"/>
                                <w:b/>
                                <w:bCs/>
                                <w:spacing w:val="20"/>
                                <w:sz w:val="48"/>
                                <w:szCs w:val="48"/>
                              </w:rPr>
                            </w:pPr>
                            <w:r>
                              <w:rPr>
                                <w:rFonts w:hint="eastAsia" w:ascii="宋体" w:hAnsi="宋体" w:cs="黑体"/>
                                <w:b/>
                                <w:bCs/>
                                <w:spacing w:val="20"/>
                                <w:sz w:val="48"/>
                                <w:szCs w:val="48"/>
                              </w:rPr>
                              <w:t>（征求意见稿）</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56.15pt;margin-top:370.35pt;height:44.5pt;width:317.7pt;mso-position-horizontal-relative:page;mso-position-vertical-relative:page;z-index:251669504;mso-width-relative:page;mso-height-relative:page;" filled="f" stroked="f" coordsize="21600,21600" o:gfxdata="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e36tMtwAAAALAQAADwAAAAAAAAABACAAAAA4&#10;AAAAZHJzL2Rvd25yZXYueG1sUEsBAhQAFAAAAAgAh07iQBixydQpAgAAMAQAAA4AAAAAAAAAAQAg&#10;AAAAQQEAAGRycy9lMm9Eb2MueG1sUEsFBgAAAAAGAAYAWQEAANwFAAAAAA==&#10;">
                <v:fill on="f" focussize="0,0"/>
                <v:stroke on="f" weight="0.5pt"/>
                <v:imagedata o:title=""/>
                <o:lock v:ext="edit" aspectratio="f"/>
                <v:textbox>
                  <w:txbxContent>
                    <w:p>
                      <w:pPr>
                        <w:jc w:val="center"/>
                        <w:rPr>
                          <w:rFonts w:ascii="宋体" w:hAnsi="宋体" w:cs="黑体"/>
                          <w:b/>
                          <w:bCs/>
                          <w:spacing w:val="20"/>
                          <w:sz w:val="48"/>
                          <w:szCs w:val="48"/>
                        </w:rPr>
                      </w:pPr>
                      <w:r>
                        <w:rPr>
                          <w:rFonts w:hint="eastAsia" w:ascii="宋体" w:hAnsi="宋体" w:cs="黑体"/>
                          <w:b/>
                          <w:bCs/>
                          <w:spacing w:val="20"/>
                          <w:sz w:val="48"/>
                          <w:szCs w:val="48"/>
                        </w:rPr>
                        <w:t>（征求意见稿）</w:t>
                      </w:r>
                    </w:p>
                  </w:txbxContent>
                </v:textbox>
              </v:shape>
            </w:pict>
          </mc:Fallback>
        </mc:AlternateContent>
      </w:r>
    </w:p>
    <w:p>
      <w:pPr>
        <w:pStyle w:val="26"/>
        <w:spacing w:line="360" w:lineRule="auto"/>
        <w:ind w:left="480"/>
        <w:rPr>
          <w:color w:val="auto"/>
        </w:rPr>
      </w:pPr>
    </w:p>
    <w:p>
      <w:pPr>
        <w:pStyle w:val="26"/>
        <w:spacing w:line="360" w:lineRule="auto"/>
        <w:ind w:left="480"/>
        <w:rPr>
          <w:color w:val="auto"/>
        </w:rPr>
      </w:pPr>
    </w:p>
    <w:p>
      <w:pPr>
        <w:pStyle w:val="26"/>
        <w:rPr>
          <w:color w:val="auto"/>
        </w:rPr>
      </w:pPr>
    </w:p>
    <w:p>
      <w:pPr>
        <w:pStyle w:val="26"/>
        <w:spacing w:line="360" w:lineRule="auto"/>
        <w:ind w:left="480"/>
        <w:rPr>
          <w:color w:val="auto"/>
        </w:rPr>
      </w:pPr>
    </w:p>
    <w:p>
      <w:pPr>
        <w:pStyle w:val="26"/>
        <w:spacing w:line="360" w:lineRule="auto"/>
        <w:ind w:left="480"/>
        <w:rPr>
          <w:color w:val="auto"/>
        </w:rPr>
      </w:pPr>
    </w:p>
    <w:p>
      <w:pPr>
        <w:pStyle w:val="26"/>
        <w:spacing w:line="360" w:lineRule="auto"/>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ind w:left="480"/>
        <w:rPr>
          <w:color w:val="auto"/>
        </w:rPr>
      </w:pPr>
    </w:p>
    <w:p>
      <w:pPr>
        <w:pStyle w:val="26"/>
        <w:spacing w:line="360" w:lineRule="auto"/>
        <w:ind w:left="480"/>
        <w:rPr>
          <w:color w:val="auto"/>
        </w:rPr>
      </w:pPr>
    </w:p>
    <w:p>
      <w:pPr>
        <w:pStyle w:val="26"/>
        <w:spacing w:line="360" w:lineRule="auto"/>
        <w:ind w:left="480"/>
        <w:rPr>
          <w:color w:val="auto"/>
        </w:rPr>
      </w:pPr>
    </w:p>
    <w:p>
      <w:pPr>
        <w:pStyle w:val="26"/>
        <w:spacing w:line="360" w:lineRule="auto"/>
        <w:ind w:left="480"/>
        <w:rPr>
          <w:color w:val="auto"/>
        </w:rPr>
      </w:pPr>
    </w:p>
    <w:p>
      <w:pPr>
        <w:pStyle w:val="26"/>
        <w:spacing w:after="240" w:line="360" w:lineRule="auto"/>
        <w:ind w:left="480"/>
        <w:jc w:val="right"/>
        <w:rPr>
          <w:rFonts w:eastAsia="黑体"/>
          <w:b/>
          <w:bCs/>
          <w:color w:val="auto"/>
          <w:spacing w:val="-11"/>
          <w:sz w:val="28"/>
          <w:szCs w:val="28"/>
        </w:rPr>
      </w:pPr>
      <w:r>
        <w:rPr>
          <w:color w:val="auto"/>
        </w:rPr>
        <mc:AlternateContent>
          <mc:Choice Requires="wps">
            <w:drawing>
              <wp:anchor distT="0" distB="0" distL="114300" distR="114300" simplePos="0" relativeHeight="251663360" behindDoc="0" locked="0" layoutInCell="1" allowOverlap="1">
                <wp:simplePos x="0" y="0"/>
                <wp:positionH relativeFrom="page">
                  <wp:posOffset>702310</wp:posOffset>
                </wp:positionH>
                <wp:positionV relativeFrom="page">
                  <wp:posOffset>9681845</wp:posOffset>
                </wp:positionV>
                <wp:extent cx="4993005" cy="60833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4993200" cy="608400"/>
                        </a:xfrm>
                        <a:prstGeom prst="rect">
                          <a:avLst/>
                        </a:prstGeom>
                        <a:noFill/>
                        <a:ln w="6350">
                          <a:noFill/>
                        </a:ln>
                        <a:effectLst/>
                      </wps:spPr>
                      <wps:txb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wps:txbx>
                      <wps:bodyPr rot="0" spcFirstLastPara="0" vertOverflow="clip" horzOverflow="clip"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5.3pt;margin-top:762.35pt;height:47.9pt;width:393.15pt;mso-position-horizontal-relative:page;mso-position-vertical-relative:page;z-index:251663360;mso-width-relative:page;mso-height-relative:page;" filled="f" stroked="f" coordsize="21600,21600" o:gfxdata="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rvh2p3QAAAA0BAAAPAAAAAAAAAAEAIAAA&#10;ADgAAABkcnMvZG93bnJldi54bWxQSwECFAAUAAAACACHTuJAqy4hkyoCAAAyBAAADgAAAAAAAAAB&#10;ACAAAABCAQAAZHJzL2Uyb0RvYy54bWxQSwUGAAAAAAYABgBZAQAA3gUAAAAA&#10;">
                <v:fill on="f" focussize="0,0"/>
                <v:stroke on="f" weight="0.5pt"/>
                <v:imagedata o:title=""/>
                <o:lock v:ext="edit" aspectratio="f"/>
                <v:textbox>
                  <w:txbxContent>
                    <w:p>
                      <w:pPr>
                        <w:spacing w:line="276" w:lineRule="auto"/>
                        <w:jc w:val="distribute"/>
                        <w:rPr>
                          <w:rFonts w:ascii="黑体" w:hAnsi="黑体" w:eastAsia="黑体" w:cs="黑体"/>
                          <w:b/>
                          <w:bCs/>
                          <w:sz w:val="40"/>
                          <w:szCs w:val="40"/>
                        </w:rPr>
                      </w:pPr>
                      <w:r>
                        <w:rPr>
                          <w:rFonts w:hint="eastAsia" w:ascii="黑体" w:hAnsi="黑体" w:eastAsia="黑体" w:cs="黑体"/>
                          <w:b/>
                          <w:bCs/>
                          <w:sz w:val="40"/>
                          <w:szCs w:val="40"/>
                        </w:rPr>
                        <w:t>深圳市住房和建设局</w:t>
                      </w:r>
                    </w:p>
                  </w:txbxContent>
                </v:textbox>
              </v:shape>
            </w:pict>
          </mc:Fallback>
        </mc:AlternateContent>
      </w:r>
      <w:r>
        <w:rPr>
          <w:color w:val="auto"/>
        </w:rPr>
        <mc:AlternateContent>
          <mc:Choice Requires="wps">
            <w:drawing>
              <wp:anchor distT="45720" distB="45720" distL="114300" distR="114300" simplePos="0" relativeHeight="251664384" behindDoc="0" locked="0" layoutInCell="1" allowOverlap="1">
                <wp:simplePos x="0" y="0"/>
                <wp:positionH relativeFrom="page">
                  <wp:posOffset>6124575</wp:posOffset>
                </wp:positionH>
                <wp:positionV relativeFrom="page">
                  <wp:posOffset>9681845</wp:posOffset>
                </wp:positionV>
                <wp:extent cx="752475" cy="547370"/>
                <wp:effectExtent l="0" t="0" r="0" b="0"/>
                <wp:wrapNone/>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752400" cy="547200"/>
                        </a:xfrm>
                        <a:prstGeom prst="rect">
                          <a:avLst/>
                        </a:prstGeom>
                        <a:noFill/>
                        <a:ln w="9525">
                          <a:noFill/>
                          <a:miter lim="800000"/>
                        </a:ln>
                        <a:effectLst/>
                      </wps:spPr>
                      <wps:txbx>
                        <w:txbxContent>
                          <w:p>
                            <w:pPr>
                              <w:jc w:val="distribute"/>
                              <w:rPr>
                                <w:b/>
                                <w:bCs/>
                                <w:sz w:val="28"/>
                                <w:szCs w:val="28"/>
                              </w:rPr>
                            </w:pPr>
                            <w:r>
                              <w:rPr>
                                <w:rFonts w:hint="eastAsia" w:ascii="黑体" w:hAnsi="黑体" w:eastAsia="黑体" w:cs="黑体"/>
                                <w:b/>
                                <w:bCs/>
                                <w:sz w:val="40"/>
                                <w:szCs w:val="40"/>
                              </w:rPr>
                              <w:t>发布</w:t>
                            </w:r>
                          </w:p>
                        </w:txbxContent>
                      </wps:txbx>
                      <wps:bodyPr rot="0" vertOverflow="clip" horzOverflow="clip" vert="horz" wrap="square" lIns="91440" tIns="45720" rIns="91440" bIns="45720" anchor="t" anchorCtr="false">
                        <a:noAutofit/>
                      </wps:bodyPr>
                    </wps:wsp>
                  </a:graphicData>
                </a:graphic>
              </wp:anchor>
            </w:drawing>
          </mc:Choice>
          <mc:Fallback>
            <w:pict>
              <v:shape id="_x0000_s1026" o:spid="_x0000_s1026" o:spt="202" type="#_x0000_t202" style="position:absolute;left:0pt;margin-left:482.25pt;margin-top:762.35pt;height:43.1pt;width:59.25pt;mso-position-horizontal-relative:page;mso-position-vertical-relative:page;z-index:251664384;mso-width-relative:page;mso-height-relative:page;" filled="f" stroked="f" coordsize="21600,21600" o:gfxdata="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z2Yc3aAAAADgEAAA8AAAAAAAAAAQAgAAAAOAAAAGRycy9k&#10;b3ducmV2LnhtbFBLAQIUABQAAAAIAIdO4kAhxzDtIwIAAB4EAAAOAAAAAAAAAAEAIAAAAD8BAABk&#10;cnMvZTJvRG9jLnhtbFBLBQYAAAAABgAGAFkBAADUBQAAAAA=&#10;">
                <v:fill on="f" focussize="0,0"/>
                <v:stroke on="f" miterlimit="8" joinstyle="miter"/>
                <v:imagedata o:title=""/>
                <o:lock v:ext="edit" aspectratio="f"/>
                <v:textbox>
                  <w:txbxContent>
                    <w:p>
                      <w:pPr>
                        <w:jc w:val="distribute"/>
                        <w:rPr>
                          <w:b/>
                          <w:bCs/>
                          <w:sz w:val="28"/>
                          <w:szCs w:val="28"/>
                        </w:rPr>
                      </w:pPr>
                      <w:r>
                        <w:rPr>
                          <w:rFonts w:hint="eastAsia" w:ascii="黑体" w:hAnsi="黑体" w:eastAsia="黑体" w:cs="黑体"/>
                          <w:b/>
                          <w:bCs/>
                          <w:sz w:val="40"/>
                          <w:szCs w:val="40"/>
                        </w:rPr>
                        <w:t>发布</w:t>
                      </w:r>
                    </w:p>
                  </w:txbxContent>
                </v:textbox>
              </v:shape>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page">
                  <wp:posOffset>-86360</wp:posOffset>
                </wp:positionH>
                <wp:positionV relativeFrom="page">
                  <wp:posOffset>9069705</wp:posOffset>
                </wp:positionV>
                <wp:extent cx="7714615" cy="0"/>
                <wp:effectExtent l="0" t="9525" r="635" b="9525"/>
                <wp:wrapNone/>
                <wp:docPr id="8" name="直接连接符 8"/>
                <wp:cNvGraphicFramePr/>
                <a:graphic xmlns:a="http://schemas.openxmlformats.org/drawingml/2006/main">
                  <a:graphicData uri="http://schemas.microsoft.com/office/word/2010/wordprocessingShape">
                    <wps:wsp>
                      <wps:cNvCnPr/>
                      <wps:spPr>
                        <a:xfrm>
                          <a:off x="0" y="0"/>
                          <a:ext cx="77148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pt;margin-top:714.15pt;height:0pt;width:607.45pt;mso-position-horizontal-relative:page;mso-position-vertical-relative:page;z-index:251666432;mso-width-relative:page;mso-height-relative:page;" filled="f" stroked="t" coordsize="21600,21600" o:gfxdata="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gLCMyNgAAAAOAQAADwAAAAAAAAABACAAAAA4AAAAZHJzL2Rvd25yZXYueG1sUEsBAhQAFAAAAAgA&#10;h07iQFmnLHbWAQAAmQMAAA4AAAAAAAAAAQAgAAAAPQEAAGRycy9lMm9Eb2MueG1sUEsFBgAAAAAG&#10;AAYAWQEAAIUFAAAAAA==&#10;">
                <v:fill on="f" focussize="0,0"/>
                <v:stroke weight="1.5pt" color="#000000" joinstyle="round"/>
                <v:imagedata o:title=""/>
                <o:lock v:ext="edit" aspectratio="f"/>
              </v:line>
            </w:pict>
          </mc:Fallback>
        </mc:AlternateContent>
      </w:r>
    </w:p>
    <w:p>
      <w:pPr>
        <w:spacing w:line="240" w:lineRule="auto"/>
        <w:jc w:val="center"/>
        <w:rPr>
          <w:rFonts w:ascii="黑体" w:hAnsi="黑体" w:eastAsia="黑体"/>
          <w:b/>
          <w:sz w:val="32"/>
        </w:rPr>
      </w:pPr>
    </w:p>
    <w:p>
      <w:pPr>
        <w:spacing w:line="240" w:lineRule="auto"/>
        <w:ind w:right="-42" w:rightChars="-20"/>
        <w:jc w:val="center"/>
        <w:rPr>
          <w:rFonts w:eastAsia="黑体"/>
          <w:sz w:val="32"/>
          <w:szCs w:val="32"/>
        </w:rPr>
      </w:pPr>
      <w:r>
        <w:rPr>
          <w:rFonts w:hint="eastAsia" w:eastAsia="黑体"/>
          <w:sz w:val="32"/>
          <w:szCs w:val="32"/>
        </w:rPr>
        <w:t>深圳市工程建设地方标准</w:t>
      </w:r>
    </w:p>
    <w:p>
      <w:pPr>
        <w:spacing w:line="240" w:lineRule="auto"/>
        <w:jc w:val="center"/>
        <w:rPr>
          <w:sz w:val="30"/>
        </w:rPr>
      </w:pPr>
    </w:p>
    <w:p>
      <w:pPr>
        <w:spacing w:line="240" w:lineRule="auto"/>
        <w:jc w:val="center"/>
        <w:rPr>
          <w:rFonts w:ascii="宋体" w:hAnsi="宋体"/>
          <w:b/>
          <w:bCs/>
          <w:sz w:val="32"/>
          <w:szCs w:val="32"/>
        </w:rPr>
      </w:pPr>
      <w:bookmarkStart w:id="0" w:name="OLE_LINK194"/>
      <w:bookmarkStart w:id="1" w:name="OLE_LINK47"/>
      <w:r>
        <w:rPr>
          <w:rFonts w:hint="eastAsia" w:ascii="宋体" w:hAnsi="宋体"/>
          <w:b/>
          <w:bCs/>
          <w:sz w:val="32"/>
          <w:szCs w:val="32"/>
        </w:rPr>
        <w:t>道路工程低碳设计标准</w:t>
      </w:r>
    </w:p>
    <w:bookmarkEnd w:id="0"/>
    <w:p>
      <w:pPr>
        <w:spacing w:line="240" w:lineRule="auto"/>
        <w:jc w:val="center"/>
        <w:rPr>
          <w:rFonts w:eastAsia="黑体"/>
          <w:sz w:val="32"/>
          <w:szCs w:val="32"/>
        </w:rPr>
      </w:pPr>
      <w:r>
        <w:rPr>
          <w:rFonts w:eastAsia="黑体"/>
          <w:sz w:val="32"/>
          <w:szCs w:val="32"/>
        </w:rPr>
        <w:t>Standard for Low-carbon Design of Road Engineering</w:t>
      </w:r>
    </w:p>
    <w:bookmarkEnd w:id="1"/>
    <w:p>
      <w:pPr>
        <w:spacing w:line="240" w:lineRule="auto"/>
        <w:jc w:val="center"/>
        <w:rPr>
          <w:b/>
          <w:sz w:val="30"/>
        </w:rPr>
      </w:pPr>
    </w:p>
    <w:p>
      <w:pPr>
        <w:spacing w:line="240" w:lineRule="auto"/>
        <w:jc w:val="center"/>
        <w:rPr>
          <w:rFonts w:hint="default"/>
          <w:b/>
          <w:sz w:val="30"/>
          <w:lang w:val="en"/>
        </w:rPr>
      </w:pPr>
      <w:r>
        <w:rPr>
          <w:b/>
          <w:sz w:val="30"/>
        </w:rPr>
        <w:t xml:space="preserve">SJG </w:t>
      </w:r>
      <w:r>
        <w:rPr>
          <w:rFonts w:eastAsia="黑体e眠副浡渀."/>
          <w:b/>
          <w:sz w:val="28"/>
          <w:szCs w:val="28"/>
        </w:rPr>
        <w:t>XXX</w:t>
      </w:r>
      <w:r>
        <w:rPr>
          <w:b/>
          <w:sz w:val="28"/>
          <w:szCs w:val="28"/>
        </w:rPr>
        <w:t xml:space="preserve"> </w:t>
      </w:r>
      <w:r>
        <w:rPr>
          <w:rFonts w:hint="eastAsia" w:ascii="宋体" w:hAnsi="宋体"/>
          <w:b/>
          <w:sz w:val="28"/>
          <w:szCs w:val="28"/>
        </w:rPr>
        <w:t>-</w:t>
      </w:r>
      <w:r>
        <w:rPr>
          <w:rFonts w:hint="eastAsia"/>
          <w:b/>
          <w:sz w:val="28"/>
          <w:szCs w:val="28"/>
        </w:rPr>
        <w:t xml:space="preserve"> </w:t>
      </w:r>
      <w:r>
        <w:rPr>
          <w:rFonts w:hint="eastAsia"/>
          <w:b/>
          <w:sz w:val="30"/>
        </w:rPr>
        <w:t>202</w:t>
      </w:r>
      <w:r>
        <w:rPr>
          <w:rFonts w:hint="default"/>
          <w:b/>
          <w:sz w:val="30"/>
          <w:lang w:val="en"/>
        </w:rPr>
        <w:t>5</w:t>
      </w:r>
    </w:p>
    <w:p>
      <w:pPr>
        <w:spacing w:line="240" w:lineRule="auto"/>
        <w:ind w:firstLine="600"/>
        <w:jc w:val="center"/>
        <w:rPr>
          <w:sz w:val="30"/>
        </w:rPr>
      </w:pPr>
    </w:p>
    <w:p>
      <w:pPr>
        <w:spacing w:line="240" w:lineRule="auto"/>
        <w:ind w:firstLine="1486" w:firstLineChars="708"/>
        <w:rPr>
          <w:szCs w:val="28"/>
        </w:rPr>
      </w:pPr>
    </w:p>
    <w:p>
      <w:pPr>
        <w:spacing w:line="240" w:lineRule="auto"/>
        <w:ind w:firstLine="1486" w:firstLineChars="708"/>
        <w:rPr>
          <w:szCs w:val="28"/>
        </w:rPr>
      </w:pPr>
    </w:p>
    <w:p>
      <w:pPr>
        <w:spacing w:line="240" w:lineRule="auto"/>
        <w:ind w:firstLine="1486" w:firstLineChars="708"/>
        <w:rPr>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spacing w:line="240" w:lineRule="auto"/>
        <w:rPr>
          <w:sz w:val="28"/>
          <w:szCs w:val="28"/>
        </w:rPr>
      </w:pPr>
    </w:p>
    <w:p>
      <w:pPr>
        <w:widowControl/>
        <w:spacing w:line="240" w:lineRule="auto"/>
        <w:jc w:val="center"/>
        <w:rPr>
          <w:rFonts w:ascii="黑体" w:hAnsi="黑体" w:eastAsia="黑体"/>
          <w:kern w:val="0"/>
          <w:sz w:val="30"/>
          <w:szCs w:val="30"/>
        </w:rPr>
      </w:pPr>
      <w:r>
        <w:rPr>
          <w:rFonts w:eastAsia="黑体"/>
          <w:kern w:val="0"/>
          <w:sz w:val="30"/>
          <w:szCs w:val="30"/>
        </w:rPr>
        <w:t>202</w:t>
      </w:r>
      <w:r>
        <w:rPr>
          <w:rFonts w:hint="default" w:eastAsia="黑体"/>
          <w:kern w:val="0"/>
          <w:sz w:val="30"/>
          <w:szCs w:val="30"/>
          <w:lang w:val="en"/>
        </w:rPr>
        <w:t>5</w:t>
      </w:r>
      <w:r>
        <w:rPr>
          <w:rFonts w:ascii="黑体" w:hAnsi="黑体" w:eastAsia="黑体"/>
          <w:kern w:val="0"/>
          <w:sz w:val="30"/>
          <w:szCs w:val="30"/>
        </w:rPr>
        <w:t xml:space="preserve"> </w:t>
      </w:r>
      <w:r>
        <w:rPr>
          <w:rFonts w:hint="eastAsia" w:ascii="黑体" w:hAnsi="黑体" w:eastAsia="黑体"/>
          <w:spacing w:val="183"/>
          <w:kern w:val="0"/>
          <w:sz w:val="30"/>
          <w:szCs w:val="30"/>
          <w:fitText w:val="966" w:id="-1579431167"/>
        </w:rPr>
        <w:t>深</w:t>
      </w:r>
      <w:r>
        <w:rPr>
          <w:rFonts w:hint="eastAsia" w:ascii="黑体" w:hAnsi="黑体" w:eastAsia="黑体"/>
          <w:spacing w:val="0"/>
          <w:kern w:val="0"/>
          <w:sz w:val="30"/>
          <w:szCs w:val="30"/>
          <w:fitText w:val="966" w:id="-1579431167"/>
        </w:rPr>
        <w:t>圳</w:t>
      </w:r>
    </w:p>
    <w:p>
      <w:pPr>
        <w:widowControl/>
        <w:spacing w:line="240" w:lineRule="auto"/>
        <w:jc w:val="left"/>
        <w:rPr>
          <w:rFonts w:ascii="黑体" w:hAnsi="黑体" w:eastAsia="黑体"/>
          <w:kern w:val="0"/>
          <w:sz w:val="30"/>
          <w:szCs w:val="30"/>
        </w:rPr>
      </w:pPr>
      <w:r>
        <w:rPr>
          <w:rFonts w:ascii="黑体" w:hAnsi="黑体" w:eastAsia="黑体"/>
          <w:kern w:val="0"/>
          <w:sz w:val="30"/>
          <w:szCs w:val="30"/>
        </w:rPr>
        <w:br w:type="page"/>
      </w:r>
    </w:p>
    <w:p>
      <w:pPr>
        <w:spacing w:before="360" w:after="360" w:line="240" w:lineRule="auto"/>
        <w:jc w:val="center"/>
        <w:rPr>
          <w:rFonts w:ascii="宋体" w:hAnsi="宋体"/>
          <w:b/>
          <w:sz w:val="28"/>
          <w:szCs w:val="28"/>
        </w:rPr>
      </w:pPr>
      <w:r>
        <w:rPr>
          <w:rFonts w:hint="eastAsia" w:ascii="宋体" w:hAnsi="宋体"/>
          <w:b/>
          <w:sz w:val="28"/>
          <w:szCs w:val="28"/>
        </w:rPr>
        <w:t xml:space="preserve">前 </w:t>
      </w:r>
      <w:r>
        <w:rPr>
          <w:rFonts w:ascii="宋体" w:hAnsi="宋体"/>
          <w:b/>
          <w:sz w:val="28"/>
          <w:szCs w:val="28"/>
        </w:rPr>
        <w:t xml:space="preserve">   </w:t>
      </w:r>
      <w:r>
        <w:rPr>
          <w:rFonts w:hint="eastAsia" w:ascii="宋体" w:hAnsi="宋体"/>
          <w:b/>
          <w:sz w:val="28"/>
          <w:szCs w:val="28"/>
        </w:rPr>
        <w:t>言</w:t>
      </w:r>
    </w:p>
    <w:p>
      <w:pPr>
        <w:spacing w:line="240" w:lineRule="auto"/>
        <w:ind w:firstLine="420" w:firstLineChars="200"/>
        <w:rPr>
          <w:rFonts w:cs="等线"/>
        </w:rPr>
      </w:pPr>
      <w:bookmarkStart w:id="2" w:name="OLE_LINK19"/>
      <w:r>
        <w:rPr>
          <w:rFonts w:hint="eastAsia" w:cs="等线"/>
        </w:rPr>
        <w:t>根据《深圳市住房和建设局</w:t>
      </w:r>
      <w:bookmarkStart w:id="3" w:name="OLE_LINK57"/>
      <w:bookmarkStart w:id="4" w:name="OLE_LINK6"/>
      <w:bookmarkStart w:id="5" w:name="OLE_LINK5"/>
      <w:r>
        <w:rPr>
          <w:rFonts w:hint="eastAsia" w:cs="等线"/>
        </w:rPr>
        <w:t>关于发布〈2023年度深圳市工程建设地方标准制修订计划（第二批）〉的通知</w:t>
      </w:r>
      <w:bookmarkEnd w:id="3"/>
      <w:bookmarkEnd w:id="4"/>
      <w:bookmarkEnd w:id="5"/>
      <w:r>
        <w:rPr>
          <w:rFonts w:hint="eastAsia" w:cs="等线"/>
        </w:rPr>
        <w:t>》的要求，标准编制组经广泛调查研究，认真总结实践经验，参考有关国内外先进标准，结合深圳市的实际，并在广泛征求意见的基础上，制订了本标准。</w:t>
      </w:r>
    </w:p>
    <w:bookmarkEnd w:id="2"/>
    <w:p>
      <w:pPr>
        <w:spacing w:line="240" w:lineRule="auto"/>
        <w:ind w:firstLine="420" w:firstLineChars="200"/>
        <w:rPr>
          <w:rFonts w:cs="等线"/>
        </w:rPr>
      </w:pPr>
      <w:r>
        <w:rPr>
          <w:rFonts w:hint="eastAsia" w:cs="等线"/>
        </w:rPr>
        <w:t>本标准主要技术内容：</w:t>
      </w:r>
      <w:bookmarkStart w:id="6" w:name="OLE_LINK18"/>
      <w:bookmarkStart w:id="7" w:name="OLE_LINK17"/>
      <w:r>
        <w:rPr>
          <w:rFonts w:hint="eastAsia" w:cs="等线"/>
        </w:rPr>
        <w:t>1.总则；2.术语和符号；3.基本规定；4</w:t>
      </w:r>
      <w:r>
        <w:rPr>
          <w:rFonts w:cs="等线"/>
        </w:rPr>
        <w:t>.</w:t>
      </w:r>
      <w:r>
        <w:rPr>
          <w:rFonts w:hint="eastAsia" w:cs="等线"/>
        </w:rPr>
        <w:t>碳排放</w:t>
      </w:r>
      <w:r>
        <w:rPr>
          <w:rFonts w:cs="等线"/>
        </w:rPr>
        <w:t>计算方法与流程</w:t>
      </w:r>
      <w:r>
        <w:rPr>
          <w:rFonts w:hint="eastAsia" w:cs="等线"/>
        </w:rPr>
        <w:t>；5</w:t>
      </w:r>
      <w:r>
        <w:rPr>
          <w:rFonts w:cs="等线"/>
        </w:rPr>
        <w:t>.</w:t>
      </w:r>
      <w:r>
        <w:rPr>
          <w:rFonts w:hint="eastAsia" w:cs="等线"/>
        </w:rPr>
        <w:t>低碳能源与资源的利用；6</w:t>
      </w:r>
      <w:r>
        <w:rPr>
          <w:rFonts w:cs="等线"/>
        </w:rPr>
        <w:t>.</w:t>
      </w:r>
      <w:r>
        <w:rPr>
          <w:rFonts w:hint="eastAsia" w:cs="等线"/>
        </w:rPr>
        <w:t>低碳材料、技术、工艺与设备；7.全寿命周期低碳设计要求；8.低碳评价。</w:t>
      </w:r>
    </w:p>
    <w:p>
      <w:pPr>
        <w:spacing w:line="240" w:lineRule="auto"/>
        <w:ind w:firstLine="420" w:firstLineChars="200"/>
        <w:rPr>
          <w:rFonts w:cs="等线"/>
        </w:rPr>
      </w:pPr>
      <w:r>
        <w:rPr>
          <w:rFonts w:hint="eastAsia" w:cs="等线"/>
        </w:rPr>
        <w:t>请注意本标准的某些内容可能直接或间接涉及专利，本标准的发布机构不承担识别这些专利的责任。</w:t>
      </w:r>
    </w:p>
    <w:bookmarkEnd w:id="6"/>
    <w:bookmarkEnd w:id="7"/>
    <w:p>
      <w:pPr>
        <w:spacing w:line="240" w:lineRule="auto"/>
        <w:ind w:firstLine="420" w:firstLineChars="200"/>
        <w:rPr>
          <w:rFonts w:cs="等线"/>
        </w:rPr>
      </w:pPr>
      <w:r>
        <w:rPr>
          <w:rFonts w:hint="eastAsia" w:cs="等线"/>
        </w:rPr>
        <w:t>本标准由深圳市住房和建设局批准发布，由深圳市交通运输局业务归口，并组织天津市政工程设计研究总院有限公司等编制单位负责技术内容的解释。本标准实施过程中如有意见或建议，请寄送天津市政工程设计研究总院有限公司（地址：天津市和平区营口道239号，邮编：</w:t>
      </w:r>
      <w:r>
        <w:rPr>
          <w:rFonts w:cs="等线"/>
        </w:rPr>
        <w:t>300040</w:t>
      </w:r>
      <w:r>
        <w:rPr>
          <w:rFonts w:hint="eastAsia" w:cs="等线"/>
        </w:rPr>
        <w:t>），以供今后修订时参考。</w:t>
      </w:r>
    </w:p>
    <w:p>
      <w:pPr>
        <w:spacing w:line="240" w:lineRule="auto"/>
        <w:ind w:firstLine="440" w:firstLineChars="155"/>
        <w:rPr>
          <w:rFonts w:ascii="宋体" w:hAnsi="宋体" w:cs="等线"/>
        </w:rPr>
      </w:pPr>
      <w:r>
        <w:rPr>
          <w:rFonts w:hint="eastAsia" w:ascii="宋体" w:hAnsi="宋体"/>
          <w:spacing w:val="37"/>
          <w:kern w:val="0"/>
          <w:szCs w:val="21"/>
          <w:fitText w:val="2210" w:id="-1572572412"/>
        </w:rPr>
        <w:t>本标准主编单位</w:t>
      </w:r>
      <w:r>
        <w:rPr>
          <w:rFonts w:hint="eastAsia" w:cs="等线"/>
          <w:spacing w:val="6"/>
          <w:kern w:val="0"/>
          <w:szCs w:val="21"/>
          <w:fitText w:val="2210" w:id="-1572572412"/>
        </w:rPr>
        <w:t>：</w:t>
      </w:r>
      <w:r>
        <w:rPr>
          <w:rFonts w:hint="eastAsia" w:cs="等线"/>
        </w:rPr>
        <w:t>深圳市交通公用设施建设中心</w:t>
      </w:r>
    </w:p>
    <w:p>
      <w:pPr>
        <w:spacing w:line="240" w:lineRule="auto"/>
        <w:ind w:left="2205" w:leftChars="1050" w:right="-197" w:rightChars="-94" w:firstLine="445" w:firstLineChars="212"/>
        <w:rPr>
          <w:rFonts w:ascii="宋体" w:hAnsi="宋体" w:cs="等线"/>
        </w:rPr>
      </w:pPr>
      <w:bookmarkStart w:id="8" w:name="OLE_LINK56"/>
      <w:bookmarkStart w:id="9" w:name="OLE_LINK7"/>
      <w:r>
        <w:rPr>
          <w:rFonts w:hint="eastAsia" w:ascii="宋体" w:hAnsi="宋体" w:cs="等线"/>
        </w:rPr>
        <w:t>天津市政工程设计研究总院有限公司</w:t>
      </w:r>
    </w:p>
    <w:bookmarkEnd w:id="8"/>
    <w:bookmarkEnd w:id="9"/>
    <w:p>
      <w:pPr>
        <w:spacing w:line="240" w:lineRule="auto"/>
        <w:ind w:left="2713" w:leftChars="210" w:hanging="2272" w:hangingChars="800"/>
        <w:rPr>
          <w:rFonts w:cs="等线"/>
          <w:szCs w:val="21"/>
        </w:rPr>
      </w:pPr>
      <w:r>
        <w:rPr>
          <w:rFonts w:hint="eastAsia" w:ascii="宋体" w:hAnsi="宋体"/>
          <w:spacing w:val="37"/>
          <w:kern w:val="0"/>
          <w:szCs w:val="21"/>
          <w:fitText w:val="2210" w:id="-1572572413"/>
        </w:rPr>
        <w:t>本标准参编单位</w:t>
      </w:r>
      <w:r>
        <w:rPr>
          <w:rFonts w:hint="eastAsia" w:cs="等线"/>
          <w:spacing w:val="6"/>
          <w:kern w:val="0"/>
          <w:fitText w:val="2210" w:id="-1572572413"/>
        </w:rPr>
        <w:t>：</w:t>
      </w:r>
      <w:r>
        <w:rPr>
          <w:rFonts w:hint="eastAsia" w:cs="等线"/>
          <w:szCs w:val="21"/>
        </w:rPr>
        <w:t>北京正合绿势生态科技有限公司</w:t>
      </w:r>
    </w:p>
    <w:p>
      <w:pPr>
        <w:spacing w:line="240" w:lineRule="auto"/>
        <w:ind w:left="2205" w:leftChars="1050" w:right="-197" w:rightChars="-94" w:firstLine="445" w:firstLineChars="212"/>
        <w:rPr>
          <w:rFonts w:cs="等线"/>
        </w:rPr>
      </w:pPr>
      <w:r>
        <w:rPr>
          <w:rFonts w:hint="eastAsia" w:cs="等线"/>
        </w:rPr>
        <w:t>中交第一公路勘察设计研究院有限公司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中交第二公路勘察设计研究院有限公司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上海市政工程设计研究总院（集团）有限公司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深圳市综合交通与市政工程设计研究总院有限公司</w:t>
      </w:r>
    </w:p>
    <w:p>
      <w:pPr>
        <w:spacing w:line="240" w:lineRule="auto"/>
        <w:ind w:left="2205" w:leftChars="1050" w:right="-197" w:rightChars="-94" w:firstLine="445" w:firstLineChars="212"/>
        <w:rPr>
          <w:rFonts w:ascii="宋体" w:hAnsi="宋体" w:cs="等线"/>
        </w:rPr>
      </w:pPr>
      <w:r>
        <w:rPr>
          <w:rFonts w:hint="eastAsia" w:ascii="宋体" w:hAnsi="宋体" w:cs="等线"/>
        </w:rPr>
        <w:t>恒津设计有限公司</w:t>
      </w:r>
    </w:p>
    <w:p>
      <w:pPr>
        <w:spacing w:line="240" w:lineRule="auto"/>
        <w:ind w:firstLine="444" w:firstLineChars="200"/>
        <w:rPr>
          <w:rFonts w:ascii="宋体" w:hAnsi="宋体" w:cs="等线"/>
        </w:rPr>
      </w:pPr>
      <w:r>
        <w:rPr>
          <w:rFonts w:hint="eastAsia" w:cs="等线"/>
          <w:spacing w:val="6"/>
          <w:kern w:val="0"/>
          <w:fitText w:val="2210" w:id="-1572572414"/>
        </w:rPr>
        <w:t>本标准主要起草人员</w:t>
      </w:r>
      <w:r>
        <w:rPr>
          <w:rFonts w:hint="eastAsia" w:cs="等线"/>
          <w:spacing w:val="1"/>
          <w:kern w:val="0"/>
          <w:fitText w:val="2210" w:id="-1572572414"/>
        </w:rPr>
        <w:t>：</w:t>
      </w:r>
    </w:p>
    <w:p>
      <w:pPr>
        <w:spacing w:line="240" w:lineRule="auto"/>
        <w:ind w:firstLine="444" w:firstLineChars="200"/>
        <w:rPr>
          <w:rFonts w:cs="等线"/>
        </w:rPr>
      </w:pPr>
      <w:r>
        <w:rPr>
          <w:rFonts w:hint="eastAsia" w:ascii="宋体" w:hAnsi="宋体"/>
          <w:spacing w:val="6"/>
          <w:kern w:val="0"/>
          <w:szCs w:val="21"/>
          <w:fitText w:val="2210" w:id="-1572572415"/>
        </w:rPr>
        <w:t>本标准主要审查人员</w:t>
      </w:r>
      <w:r>
        <w:rPr>
          <w:rFonts w:hint="eastAsia" w:cs="等线"/>
          <w:spacing w:val="1"/>
          <w:kern w:val="0"/>
          <w:fitText w:val="2210" w:id="-1572572415"/>
        </w:rPr>
        <w:t>：</w:t>
      </w:r>
      <w:r>
        <w:rPr>
          <w:rFonts w:cs="等线"/>
        </w:rPr>
        <w:t xml:space="preserve"> </w:t>
      </w:r>
    </w:p>
    <w:p>
      <w:pPr>
        <w:spacing w:line="240" w:lineRule="auto"/>
        <w:ind w:right="-197" w:rightChars="-94" w:firstLine="444" w:firstLineChars="200"/>
        <w:rPr>
          <w:rFonts w:ascii="黑体" w:hAnsi="黑体" w:eastAsia="黑体"/>
          <w:sz w:val="30"/>
          <w:szCs w:val="30"/>
        </w:rPr>
      </w:pPr>
      <w:r>
        <w:rPr>
          <w:rFonts w:hint="eastAsia" w:ascii="宋体" w:hAnsi="宋体"/>
          <w:spacing w:val="6"/>
          <w:kern w:val="0"/>
          <w:szCs w:val="21"/>
          <w:fitText w:val="2210" w:id="-1572572416"/>
        </w:rPr>
        <w:t>本标准主要指导人员</w:t>
      </w:r>
      <w:r>
        <w:rPr>
          <w:rFonts w:hint="eastAsia" w:ascii="宋体" w:hAnsi="宋体"/>
          <w:spacing w:val="1"/>
          <w:kern w:val="0"/>
          <w:szCs w:val="21"/>
          <w:fitText w:val="2210" w:id="-1572572416"/>
        </w:rPr>
        <w:t>：</w:t>
      </w:r>
      <w:r>
        <w:rPr>
          <w:rFonts w:ascii="黑体" w:hAnsi="黑体" w:eastAsia="黑体"/>
          <w:sz w:val="30"/>
          <w:szCs w:val="30"/>
        </w:rPr>
        <w:t xml:space="preserve"> </w:t>
      </w:r>
    </w:p>
    <w:p>
      <w:pPr>
        <w:spacing w:line="240" w:lineRule="auto"/>
        <w:ind w:right="-197" w:rightChars="-94" w:firstLine="3786" w:firstLineChars="1262"/>
        <w:rPr>
          <w:rFonts w:cs="等线"/>
        </w:rPr>
      </w:pPr>
      <w:r>
        <w:rPr>
          <w:rFonts w:ascii="黑体" w:hAnsi="黑体" w:eastAsia="黑体"/>
          <w:sz w:val="30"/>
          <w:szCs w:val="30"/>
        </w:rPr>
        <w:br w:type="page"/>
      </w:r>
    </w:p>
    <w:p>
      <w:pPr>
        <w:pStyle w:val="10"/>
        <w:spacing w:before="360" w:after="360"/>
        <w:ind w:firstLine="0"/>
        <w:jc w:val="center"/>
      </w:pPr>
      <w:r>
        <w:rPr>
          <w:rFonts w:hint="eastAsia" w:ascii="仿宋" w:hAnsi="仿宋" w:eastAsia="仿宋" w:cs="Times New Roman"/>
          <w:sz w:val="28"/>
          <w:szCs w:val="28"/>
        </w:rPr>
        <w:t xml:space="preserve">目 </w:t>
      </w:r>
      <w:r>
        <w:rPr>
          <w:rFonts w:ascii="仿宋" w:hAnsi="仿宋" w:eastAsia="仿宋" w:cs="Times New Roman"/>
          <w:sz w:val="28"/>
          <w:szCs w:val="28"/>
        </w:rPr>
        <w:t xml:space="preserve">   </w:t>
      </w:r>
      <w:r>
        <w:rPr>
          <w:rFonts w:hint="eastAsia" w:ascii="仿宋" w:hAnsi="仿宋" w:eastAsia="仿宋" w:cs="Times New Roman"/>
          <w:sz w:val="28"/>
          <w:szCs w:val="28"/>
        </w:rPr>
        <w:t>次</w:t>
      </w:r>
    </w:p>
    <w:p>
      <w:pPr>
        <w:pStyle w:val="10"/>
        <w:ind w:firstLine="0"/>
        <w:rPr>
          <w:rFonts w:ascii="宋体" w:hAnsi="宋体" w:eastAsia="宋体" w:cs="Times New Roman"/>
        </w:rPr>
      </w:pPr>
      <w:r>
        <w:rPr>
          <w:rFonts w:ascii="宋体" w:hAnsi="宋体" w:eastAsia="宋体" w:cs="Times New Roman"/>
        </w:rPr>
        <w:t>1</w:t>
      </w:r>
      <w:r>
        <w:rPr>
          <w:rFonts w:ascii="Times New Roman" w:hAnsi="Times New Roman" w:cs="Times New Roman"/>
        </w:rPr>
        <w:t xml:space="preserve">  </w:t>
      </w:r>
      <w:r>
        <w:rPr>
          <w:rFonts w:hint="eastAsia" w:ascii="宋体" w:hAnsi="宋体" w:eastAsia="宋体" w:cs="Times New Roman"/>
        </w:rPr>
        <w:t>总则</w:t>
      </w:r>
      <w:r>
        <w:rPr>
          <w:rFonts w:ascii="宋体" w:hAnsi="宋体" w:eastAsia="宋体" w:cs="Times New Roman"/>
        </w:rPr>
        <w:tab/>
      </w:r>
      <w:r>
        <w:rPr>
          <w:rFonts w:ascii="宋体" w:hAnsi="宋体" w:eastAsia="宋体" w:cs="Times New Roman"/>
          <w:lang w:val="zh-CN"/>
        </w:rPr>
        <w:t>1</w:t>
      </w:r>
    </w:p>
    <w:p>
      <w:pPr>
        <w:pStyle w:val="10"/>
        <w:ind w:firstLine="0"/>
        <w:rPr>
          <w:rFonts w:ascii="宋体" w:hAnsi="宋体" w:eastAsia="宋体" w:cs="Times New Roman"/>
        </w:rPr>
      </w:pPr>
      <w:r>
        <w:rPr>
          <w:rFonts w:ascii="宋体" w:hAnsi="宋体" w:eastAsia="宋体" w:cs="Times New Roman"/>
        </w:rPr>
        <w:t xml:space="preserve">2  </w:t>
      </w:r>
      <w:r>
        <w:rPr>
          <w:rFonts w:hint="eastAsia" w:ascii="宋体" w:hAnsi="宋体" w:eastAsia="宋体" w:cs="Times New Roman"/>
        </w:rPr>
        <w:t>术语和符号</w:t>
      </w:r>
      <w:r>
        <w:rPr>
          <w:rFonts w:ascii="宋体" w:hAnsi="宋体" w:eastAsia="宋体" w:cs="Times New Roman"/>
        </w:rPr>
        <w:tab/>
      </w:r>
      <w:r>
        <w:rPr>
          <w:rFonts w:ascii="宋体" w:hAnsi="宋体" w:eastAsia="宋体" w:cs="Times New Roman"/>
          <w:lang w:val="zh-CN"/>
        </w:rPr>
        <w:t>2</w:t>
      </w:r>
    </w:p>
    <w:p>
      <w:pPr>
        <w:pStyle w:val="5"/>
        <w:ind w:left="0" w:leftChars="0" w:firstLine="205" w:firstLineChars="114"/>
        <w:rPr>
          <w:rFonts w:ascii="宋体" w:hAnsi="宋体" w:eastAsia="宋体" w:cs="Times New Roman"/>
          <w:lang w:val="zh-CN"/>
        </w:rPr>
      </w:pPr>
      <w:r>
        <w:rPr>
          <w:rFonts w:ascii="宋体" w:hAnsi="宋体" w:eastAsia="宋体" w:cs="Times New Roman"/>
          <w:sz w:val="18"/>
          <w:szCs w:val="18"/>
        </w:rPr>
        <w:t xml:space="preserve">2.1  </w:t>
      </w:r>
      <w:r>
        <w:rPr>
          <w:rFonts w:hint="eastAsia" w:ascii="宋体" w:hAnsi="宋体" w:eastAsia="宋体" w:cs="Times New Roman"/>
          <w:sz w:val="18"/>
          <w:szCs w:val="18"/>
        </w:rPr>
        <w:t>术语</w:t>
      </w:r>
      <w:r>
        <w:rPr>
          <w:rFonts w:ascii="宋体" w:hAnsi="宋体" w:eastAsia="宋体" w:cs="Times New Roman"/>
          <w:szCs w:val="21"/>
        </w:rPr>
        <w:tab/>
      </w:r>
      <w:r>
        <w:rPr>
          <w:rFonts w:hint="eastAsia" w:ascii="宋体" w:hAnsi="宋体" w:eastAsia="宋体" w:cs="Times New Roman"/>
          <w:szCs w:val="21"/>
          <w:lang w:val="zh-CN"/>
        </w:rPr>
        <w:t>2</w:t>
      </w:r>
    </w:p>
    <w:p>
      <w:pPr>
        <w:pStyle w:val="5"/>
        <w:ind w:left="0" w:leftChars="0" w:firstLine="205" w:firstLineChars="114"/>
        <w:rPr>
          <w:rFonts w:ascii="宋体" w:hAnsi="宋体" w:eastAsia="宋体" w:cs="Times New Roman"/>
          <w:szCs w:val="21"/>
          <w:lang w:val="zh-CN"/>
        </w:rPr>
      </w:pPr>
      <w:r>
        <w:rPr>
          <w:rFonts w:ascii="宋体" w:hAnsi="宋体" w:eastAsia="宋体" w:cs="Times New Roman"/>
          <w:sz w:val="18"/>
          <w:szCs w:val="18"/>
        </w:rPr>
        <w:t xml:space="preserve">2.2  </w:t>
      </w:r>
      <w:r>
        <w:rPr>
          <w:rFonts w:hint="eastAsia" w:ascii="宋体" w:hAnsi="宋体" w:eastAsia="宋体" w:cs="Times New Roman"/>
          <w:sz w:val="18"/>
          <w:szCs w:val="18"/>
        </w:rPr>
        <w:t>符号</w:t>
      </w:r>
      <w:r>
        <w:rPr>
          <w:rFonts w:ascii="宋体" w:hAnsi="宋体" w:eastAsia="宋体" w:cs="Times New Roman"/>
          <w:szCs w:val="21"/>
        </w:rPr>
        <w:tab/>
      </w:r>
      <w:r>
        <w:rPr>
          <w:rFonts w:hint="eastAsia" w:ascii="宋体" w:hAnsi="宋体" w:eastAsia="宋体" w:cs="Times New Roman"/>
          <w:szCs w:val="21"/>
          <w:lang w:val="zh-CN"/>
        </w:rPr>
        <w:t>3</w:t>
      </w:r>
    </w:p>
    <w:p>
      <w:pPr>
        <w:pStyle w:val="10"/>
        <w:ind w:firstLine="0"/>
        <w:rPr>
          <w:rFonts w:ascii="宋体" w:hAnsi="宋体" w:eastAsia="宋体" w:cs="Times New Roman"/>
        </w:rPr>
      </w:pP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基本规定</w:t>
      </w:r>
      <w:r>
        <w:rPr>
          <w:rFonts w:ascii="宋体" w:hAnsi="宋体" w:eastAsia="宋体" w:cs="Times New Roman"/>
        </w:rPr>
        <w:tab/>
      </w:r>
      <w:r>
        <w:rPr>
          <w:rFonts w:hint="eastAsia" w:ascii="宋体" w:hAnsi="宋体" w:eastAsia="宋体" w:cs="Times New Roman"/>
          <w:lang w:val="zh-CN"/>
        </w:rPr>
        <w:t>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3</w:t>
      </w:r>
      <w:r>
        <w:rPr>
          <w:rFonts w:ascii="宋体" w:hAnsi="宋体" w:eastAsia="宋体" w:cs="Times New Roman"/>
          <w:sz w:val="18"/>
          <w:szCs w:val="18"/>
        </w:rPr>
        <w:t>.1  低碳</w:t>
      </w:r>
      <w:r>
        <w:rPr>
          <w:rFonts w:hint="eastAsia" w:ascii="宋体" w:hAnsi="宋体" w:eastAsia="宋体" w:cs="Times New Roman"/>
          <w:sz w:val="18"/>
          <w:szCs w:val="18"/>
        </w:rPr>
        <w:t>设计原则</w:t>
      </w:r>
      <w:r>
        <w:rPr>
          <w:rFonts w:ascii="宋体" w:hAnsi="宋体" w:eastAsia="宋体" w:cs="Times New Roman"/>
          <w:szCs w:val="21"/>
        </w:rPr>
        <w:tab/>
      </w:r>
      <w:r>
        <w:rPr>
          <w:rFonts w:hint="eastAsia" w:ascii="宋体" w:hAnsi="宋体" w:eastAsia="宋体" w:cs="Times New Roman"/>
          <w:szCs w:val="21"/>
          <w:lang w:val="zh-CN"/>
        </w:rPr>
        <w:t>5</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3</w:t>
      </w:r>
      <w:r>
        <w:rPr>
          <w:rFonts w:ascii="宋体" w:hAnsi="宋体" w:eastAsia="宋体" w:cs="Times New Roman"/>
          <w:sz w:val="18"/>
          <w:szCs w:val="18"/>
        </w:rPr>
        <w:t>.2  碳排放</w:t>
      </w:r>
      <w:r>
        <w:rPr>
          <w:rFonts w:hint="eastAsia" w:ascii="宋体" w:hAnsi="宋体" w:eastAsia="宋体" w:cs="Times New Roman"/>
          <w:sz w:val="18"/>
          <w:szCs w:val="18"/>
        </w:rPr>
        <w:t>指标体系</w:t>
      </w:r>
      <w:r>
        <w:rPr>
          <w:rFonts w:ascii="宋体" w:hAnsi="宋体" w:eastAsia="宋体" w:cs="Times New Roman"/>
          <w:szCs w:val="21"/>
        </w:rPr>
        <w:tab/>
      </w:r>
      <w:r>
        <w:rPr>
          <w:rFonts w:hint="eastAsia" w:ascii="宋体" w:hAnsi="宋体" w:eastAsia="宋体" w:cs="Times New Roman"/>
          <w:szCs w:val="21"/>
          <w:lang w:val="zh-CN"/>
        </w:rPr>
        <w:t>6</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3</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低碳道路技术要点</w:t>
      </w:r>
      <w:r>
        <w:rPr>
          <w:rFonts w:ascii="宋体" w:hAnsi="宋体" w:eastAsia="宋体" w:cs="Times New Roman"/>
          <w:szCs w:val="21"/>
        </w:rPr>
        <w:tab/>
      </w:r>
      <w:r>
        <w:rPr>
          <w:rFonts w:hint="eastAsia" w:ascii="宋体" w:hAnsi="宋体" w:eastAsia="宋体" w:cs="Times New Roman"/>
          <w:szCs w:val="21"/>
          <w:lang w:val="zh-CN"/>
        </w:rPr>
        <w:t>7</w:t>
      </w:r>
    </w:p>
    <w:p>
      <w:pPr>
        <w:pStyle w:val="10"/>
        <w:ind w:firstLine="0"/>
        <w:rPr>
          <w:rFonts w:ascii="宋体" w:hAnsi="宋体" w:eastAsia="宋体" w:cs="Times New Roman"/>
        </w:rPr>
      </w:pP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碳排放计算方法与流程</w:t>
      </w:r>
      <w:r>
        <w:rPr>
          <w:rFonts w:ascii="宋体" w:hAnsi="宋体" w:eastAsia="宋体" w:cs="Times New Roman"/>
        </w:rPr>
        <w:tab/>
      </w:r>
      <w:r>
        <w:rPr>
          <w:rFonts w:hint="eastAsia" w:ascii="宋体" w:hAnsi="宋体" w:eastAsia="宋体" w:cs="Times New Roman"/>
          <w:lang w:val="zh-CN"/>
        </w:rPr>
        <w:t>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4</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计算方法</w:t>
      </w:r>
      <w:r>
        <w:rPr>
          <w:rFonts w:ascii="宋体" w:hAnsi="宋体" w:eastAsia="宋体" w:cs="Times New Roman"/>
          <w:szCs w:val="21"/>
        </w:rPr>
        <w:tab/>
      </w:r>
      <w:r>
        <w:rPr>
          <w:rFonts w:hint="eastAsia" w:ascii="宋体" w:hAnsi="宋体" w:eastAsia="宋体" w:cs="Times New Roman"/>
          <w:szCs w:val="21"/>
          <w:lang w:val="zh-CN"/>
        </w:rPr>
        <w:t>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计算流程</w:t>
      </w:r>
      <w:r>
        <w:rPr>
          <w:rFonts w:ascii="宋体" w:hAnsi="宋体" w:eastAsia="宋体" w:cs="Times New Roman"/>
          <w:szCs w:val="21"/>
        </w:rPr>
        <w:tab/>
      </w:r>
      <w:r>
        <w:rPr>
          <w:rFonts w:hint="eastAsia" w:ascii="宋体" w:hAnsi="宋体" w:eastAsia="宋体" w:cs="Times New Roman"/>
          <w:szCs w:val="21"/>
          <w:lang w:val="zh-CN"/>
        </w:rPr>
        <w:t>13</w:t>
      </w:r>
    </w:p>
    <w:p>
      <w:pPr>
        <w:pStyle w:val="10"/>
        <w:ind w:firstLine="0"/>
        <w:rPr>
          <w:rFonts w:ascii="宋体" w:hAnsi="宋体" w:eastAsia="宋体" w:cs="Times New Roman"/>
        </w:rPr>
      </w:pPr>
      <w:r>
        <w:rPr>
          <w:rFonts w:hint="eastAsia" w:ascii="宋体" w:hAnsi="宋体" w:eastAsia="宋体" w:cs="Times New Roman"/>
        </w:rPr>
        <w:t>5</w:t>
      </w:r>
      <w:r>
        <w:rPr>
          <w:rFonts w:ascii="宋体" w:hAnsi="宋体" w:eastAsia="宋体" w:cs="Times New Roman"/>
        </w:rPr>
        <w:t xml:space="preserve">  </w:t>
      </w:r>
      <w:r>
        <w:rPr>
          <w:rFonts w:hint="eastAsia" w:ascii="宋体" w:hAnsi="宋体" w:eastAsia="宋体" w:cs="Times New Roman"/>
        </w:rPr>
        <w:t>低碳能源与资源的利用</w:t>
      </w:r>
      <w:r>
        <w:rPr>
          <w:rFonts w:ascii="宋体" w:hAnsi="宋体" w:eastAsia="宋体" w:cs="Times New Roman"/>
        </w:rPr>
        <w:tab/>
      </w:r>
      <w:r>
        <w:rPr>
          <w:rFonts w:hint="eastAsia" w:ascii="宋体" w:hAnsi="宋体" w:eastAsia="宋体" w:cs="Times New Roman"/>
          <w:lang w:val="zh-CN"/>
        </w:rPr>
        <w:t>15</w:t>
      </w:r>
    </w:p>
    <w:p>
      <w:pPr>
        <w:pStyle w:val="5"/>
        <w:ind w:left="0" w:leftChars="0" w:firstLine="205" w:firstLineChars="114"/>
        <w:rPr>
          <w:rFonts w:ascii="宋体" w:hAnsi="宋体" w:eastAsia="宋体" w:cs="Times New Roman"/>
        </w:rPr>
      </w:pPr>
      <w:r>
        <w:rPr>
          <w:rFonts w:hint="eastAsia" w:ascii="宋体" w:hAnsi="宋体" w:eastAsia="宋体" w:cs="Times New Roman"/>
          <w:sz w:val="18"/>
          <w:szCs w:val="18"/>
        </w:rPr>
        <w:t>5</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rPr>
        <w:t>15</w:t>
      </w:r>
    </w:p>
    <w:p>
      <w:pPr>
        <w:pStyle w:val="5"/>
        <w:ind w:left="0" w:leftChars="0" w:firstLine="205" w:firstLineChars="114"/>
        <w:rPr>
          <w:rFonts w:ascii="宋体" w:hAnsi="宋体" w:eastAsia="宋体" w:cs="Times New Roma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可再生能源的利用</w:t>
      </w:r>
      <w:r>
        <w:rPr>
          <w:rFonts w:ascii="宋体" w:hAnsi="宋体" w:eastAsia="宋体" w:cs="Times New Roman"/>
          <w:szCs w:val="21"/>
        </w:rPr>
        <w:tab/>
      </w:r>
      <w:r>
        <w:rPr>
          <w:rFonts w:hint="eastAsia" w:ascii="宋体" w:hAnsi="宋体" w:eastAsia="宋体" w:cs="Times New Roman"/>
          <w:szCs w:val="21"/>
        </w:rPr>
        <w:t>15</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5</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资源的再生利用</w:t>
      </w:r>
      <w:r>
        <w:rPr>
          <w:rFonts w:ascii="宋体" w:hAnsi="宋体" w:eastAsia="宋体" w:cs="Times New Roman"/>
          <w:szCs w:val="21"/>
        </w:rPr>
        <w:tab/>
      </w:r>
      <w:r>
        <w:rPr>
          <w:rFonts w:hint="eastAsia" w:ascii="宋体" w:hAnsi="宋体" w:eastAsia="宋体" w:cs="Times New Roman"/>
          <w:szCs w:val="21"/>
          <w:lang w:val="zh-CN"/>
        </w:rPr>
        <w:t>16</w:t>
      </w:r>
    </w:p>
    <w:p>
      <w:pPr>
        <w:pStyle w:val="10"/>
        <w:ind w:firstLine="0"/>
        <w:rPr>
          <w:rFonts w:ascii="宋体" w:hAnsi="宋体" w:eastAsia="宋体" w:cs="Times New Roman"/>
        </w:rPr>
      </w:pPr>
      <w:r>
        <w:rPr>
          <w:rFonts w:hint="eastAsia" w:ascii="宋体" w:hAnsi="宋体" w:eastAsia="宋体" w:cs="Times New Roman"/>
        </w:rPr>
        <w:t>6</w:t>
      </w:r>
      <w:r>
        <w:rPr>
          <w:rFonts w:ascii="宋体" w:hAnsi="宋体" w:eastAsia="宋体" w:cs="Times New Roman"/>
        </w:rPr>
        <w:t xml:space="preserve">  </w:t>
      </w:r>
      <w:r>
        <w:rPr>
          <w:rFonts w:hint="eastAsia" w:ascii="宋体" w:hAnsi="宋体" w:eastAsia="宋体" w:cs="Times New Roman"/>
        </w:rPr>
        <w:t>低碳材料、技术、工艺与设备</w:t>
      </w:r>
      <w:r>
        <w:rPr>
          <w:rFonts w:ascii="宋体" w:hAnsi="宋体" w:eastAsia="宋体" w:cs="Times New Roman"/>
        </w:rPr>
        <w:tab/>
      </w:r>
      <w:r>
        <w:rPr>
          <w:rFonts w:hint="eastAsia" w:ascii="宋体" w:hAnsi="宋体" w:eastAsia="宋体" w:cs="Times New Roman"/>
          <w:lang w:val="zh-CN"/>
        </w:rPr>
        <w:t>19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6</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19</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低碳材料</w:t>
      </w:r>
      <w:r>
        <w:rPr>
          <w:rFonts w:ascii="宋体" w:hAnsi="宋体" w:eastAsia="宋体" w:cs="Times New Roman"/>
          <w:szCs w:val="21"/>
        </w:rPr>
        <w:tab/>
      </w:r>
      <w:r>
        <w:rPr>
          <w:rFonts w:hint="eastAsia" w:ascii="宋体" w:hAnsi="宋体" w:eastAsia="宋体" w:cs="Times New Roman"/>
          <w:szCs w:val="21"/>
          <w:lang w:val="zh-CN"/>
        </w:rPr>
        <w:t>19</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低碳技术与工艺</w:t>
      </w:r>
      <w:r>
        <w:rPr>
          <w:rFonts w:ascii="宋体" w:hAnsi="宋体" w:eastAsia="宋体" w:cs="Times New Roman"/>
          <w:szCs w:val="21"/>
        </w:rPr>
        <w:tab/>
      </w:r>
      <w:r>
        <w:rPr>
          <w:rFonts w:hint="eastAsia" w:ascii="宋体" w:hAnsi="宋体" w:eastAsia="宋体" w:cs="Times New Roman"/>
          <w:szCs w:val="21"/>
          <w:lang w:val="zh-CN"/>
        </w:rPr>
        <w:t>19</w:t>
      </w:r>
    </w:p>
    <w:p>
      <w:pPr>
        <w:pStyle w:val="5"/>
        <w:ind w:left="0" w:leftChars="0" w:firstLine="205" w:firstLineChars="114"/>
        <w:rPr>
          <w:rFonts w:ascii="宋体" w:hAnsi="宋体" w:eastAsia="宋体" w:cs="Times New Roman"/>
          <w:szCs w:val="21"/>
          <w:lang w:val="zh-CN"/>
        </w:rPr>
      </w:pPr>
      <w:bookmarkStart w:id="10" w:name="OLE_LINK254"/>
      <w:r>
        <w:rPr>
          <w:rFonts w:hint="eastAsia" w:ascii="宋体" w:hAnsi="宋体" w:eastAsia="宋体" w:cs="Times New Roman"/>
          <w:sz w:val="18"/>
          <w:szCs w:val="18"/>
        </w:rPr>
        <w:t>6</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低碳设备</w:t>
      </w:r>
      <w:r>
        <w:rPr>
          <w:rFonts w:ascii="宋体" w:hAnsi="宋体" w:eastAsia="宋体" w:cs="Times New Roman"/>
          <w:szCs w:val="21"/>
        </w:rPr>
        <w:tab/>
      </w:r>
      <w:r>
        <w:rPr>
          <w:rFonts w:hint="eastAsia" w:ascii="宋体" w:hAnsi="宋体" w:eastAsia="宋体" w:cs="Times New Roman"/>
          <w:szCs w:val="21"/>
          <w:lang w:val="zh-CN"/>
        </w:rPr>
        <w:t>20</w:t>
      </w:r>
    </w:p>
    <w:bookmarkEnd w:id="10"/>
    <w:p>
      <w:pPr>
        <w:pStyle w:val="10"/>
        <w:ind w:firstLine="0"/>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  </w:t>
      </w:r>
      <w:bookmarkStart w:id="11" w:name="OLE_LINK132"/>
      <w:bookmarkStart w:id="12" w:name="OLE_LINK133"/>
      <w:r>
        <w:rPr>
          <w:rFonts w:hint="eastAsia" w:ascii="宋体" w:hAnsi="宋体" w:eastAsia="宋体" w:cs="Times New Roman"/>
        </w:rPr>
        <w:t>全寿命周期低碳设计要求</w:t>
      </w:r>
      <w:bookmarkEnd w:id="11"/>
      <w:bookmarkEnd w:id="12"/>
      <w:r>
        <w:rPr>
          <w:rFonts w:ascii="宋体" w:hAnsi="宋体" w:eastAsia="宋体" w:cs="Times New Roman"/>
        </w:rPr>
        <w:tab/>
      </w:r>
      <w:r>
        <w:rPr>
          <w:rFonts w:hint="eastAsia" w:ascii="宋体" w:hAnsi="宋体" w:eastAsia="宋体" w:cs="Times New Roman"/>
          <w:lang w:val="zh-CN"/>
        </w:rPr>
        <w:t>21</w:t>
      </w:r>
    </w:p>
    <w:p>
      <w:pPr>
        <w:pStyle w:val="5"/>
        <w:ind w:left="0" w:leftChars="0" w:firstLine="205" w:firstLineChars="114"/>
        <w:rPr>
          <w:rFonts w:ascii="宋体" w:hAnsi="宋体" w:eastAsia="宋体" w:cs="Times New Roman"/>
          <w:sz w:val="18"/>
          <w:szCs w:val="18"/>
        </w:rPr>
      </w:pPr>
      <w:r>
        <w:rPr>
          <w:rFonts w:hint="eastAsia" w:ascii="宋体" w:hAnsi="宋体" w:eastAsia="宋体" w:cs="Times New Roman"/>
          <w:sz w:val="18"/>
          <w:szCs w:val="18"/>
        </w:rPr>
        <w:t>7</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21</w:t>
      </w:r>
    </w:p>
    <w:p>
      <w:pPr>
        <w:pStyle w:val="5"/>
        <w:ind w:left="0" w:leftChars="0" w:firstLine="205" w:firstLineChars="114"/>
        <w:rPr>
          <w:rFonts w:ascii="宋体" w:hAnsi="宋体" w:eastAsia="宋体" w:cs="Times New Roman"/>
          <w:sz w:val="18"/>
          <w:szCs w:val="18"/>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设计阶段低碳设计要求</w:t>
      </w:r>
      <w:r>
        <w:rPr>
          <w:rFonts w:ascii="宋体" w:hAnsi="宋体" w:eastAsia="宋体" w:cs="Times New Roman"/>
          <w:szCs w:val="21"/>
        </w:rPr>
        <w:tab/>
      </w:r>
      <w:r>
        <w:rPr>
          <w:rFonts w:hint="eastAsia" w:ascii="宋体" w:hAnsi="宋体" w:eastAsia="宋体" w:cs="Times New Roman"/>
          <w:szCs w:val="21"/>
          <w:lang w:val="zh-CN"/>
        </w:rPr>
        <w:t>21</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设计阶段参数优化</w:t>
      </w:r>
      <w:r>
        <w:rPr>
          <w:rFonts w:ascii="宋体" w:hAnsi="宋体" w:eastAsia="宋体" w:cs="Times New Roman"/>
          <w:szCs w:val="21"/>
        </w:rPr>
        <w:tab/>
      </w:r>
      <w:r>
        <w:rPr>
          <w:rFonts w:hint="eastAsia" w:ascii="宋体" w:hAnsi="宋体" w:eastAsia="宋体" w:cs="Times New Roman"/>
          <w:szCs w:val="21"/>
          <w:lang w:val="zh-CN"/>
        </w:rPr>
        <w:t>26</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4</w:t>
      </w:r>
      <w:r>
        <w:rPr>
          <w:rFonts w:ascii="宋体" w:hAnsi="宋体" w:eastAsia="宋体" w:cs="Times New Roman"/>
          <w:sz w:val="18"/>
          <w:szCs w:val="18"/>
        </w:rPr>
        <w:t xml:space="preserve">  </w:t>
      </w:r>
      <w:r>
        <w:rPr>
          <w:rFonts w:hint="eastAsia" w:ascii="宋体" w:hAnsi="宋体" w:eastAsia="宋体" w:cs="Times New Roman"/>
          <w:sz w:val="18"/>
          <w:szCs w:val="18"/>
        </w:rPr>
        <w:t>施工阶段低碳设计要求</w:t>
      </w:r>
      <w:r>
        <w:rPr>
          <w:rFonts w:ascii="宋体" w:hAnsi="宋体" w:eastAsia="宋体" w:cs="Times New Roman"/>
          <w:szCs w:val="21"/>
        </w:rPr>
        <w:tab/>
      </w:r>
      <w:r>
        <w:rPr>
          <w:rFonts w:hint="eastAsia" w:ascii="宋体" w:hAnsi="宋体" w:eastAsia="宋体" w:cs="Times New Roman"/>
          <w:szCs w:val="21"/>
          <w:lang w:val="zh-CN"/>
        </w:rPr>
        <w:t>31</w:t>
      </w:r>
    </w:p>
    <w:p>
      <w:pPr>
        <w:pStyle w:val="5"/>
        <w:ind w:left="0" w:leftChars="0" w:firstLine="205" w:firstLineChars="114"/>
        <w:rPr>
          <w:rFonts w:ascii="宋体" w:hAnsi="宋体" w:eastAsia="宋体" w:cs="Times New Roman"/>
          <w:szCs w:val="21"/>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5</w:t>
      </w:r>
      <w:r>
        <w:rPr>
          <w:rFonts w:ascii="宋体" w:hAnsi="宋体" w:eastAsia="宋体" w:cs="Times New Roman"/>
          <w:sz w:val="18"/>
          <w:szCs w:val="18"/>
        </w:rPr>
        <w:t xml:space="preserve">  </w:t>
      </w:r>
      <w:r>
        <w:rPr>
          <w:rFonts w:hint="eastAsia" w:ascii="宋体" w:hAnsi="宋体" w:eastAsia="宋体" w:cs="Times New Roman"/>
          <w:sz w:val="18"/>
          <w:szCs w:val="18"/>
        </w:rPr>
        <w:t>运营维护阶段低碳设计要求</w:t>
      </w:r>
      <w:r>
        <w:rPr>
          <w:rFonts w:ascii="宋体" w:hAnsi="宋体" w:eastAsia="宋体" w:cs="Times New Roman"/>
          <w:szCs w:val="21"/>
        </w:rPr>
        <w:tab/>
      </w:r>
      <w:r>
        <w:rPr>
          <w:rFonts w:hint="eastAsia" w:ascii="宋体" w:hAnsi="宋体" w:eastAsia="宋体" w:cs="Times New Roman"/>
          <w:szCs w:val="21"/>
          <w:lang w:val="zh-CN"/>
        </w:rPr>
        <w:t>32</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7</w:t>
      </w:r>
      <w:r>
        <w:rPr>
          <w:rFonts w:ascii="宋体" w:hAnsi="宋体" w:eastAsia="宋体" w:cs="Times New Roman"/>
          <w:sz w:val="18"/>
          <w:szCs w:val="18"/>
        </w:rPr>
        <w:t>.</w:t>
      </w:r>
      <w:r>
        <w:rPr>
          <w:rFonts w:hint="eastAsia" w:ascii="宋体" w:hAnsi="宋体" w:eastAsia="宋体" w:cs="Times New Roman"/>
          <w:sz w:val="18"/>
          <w:szCs w:val="18"/>
        </w:rPr>
        <w:t>6</w:t>
      </w:r>
      <w:r>
        <w:rPr>
          <w:rFonts w:ascii="宋体" w:hAnsi="宋体" w:eastAsia="宋体" w:cs="Times New Roman"/>
          <w:sz w:val="18"/>
          <w:szCs w:val="18"/>
        </w:rPr>
        <w:t xml:space="preserve">  </w:t>
      </w:r>
      <w:r>
        <w:rPr>
          <w:rFonts w:hint="eastAsia" w:ascii="宋体" w:hAnsi="宋体" w:eastAsia="宋体" w:cs="Times New Roman"/>
          <w:sz w:val="18"/>
          <w:szCs w:val="18"/>
        </w:rPr>
        <w:t>全过程低碳管理</w:t>
      </w:r>
      <w:r>
        <w:rPr>
          <w:rFonts w:ascii="宋体" w:hAnsi="宋体" w:eastAsia="宋体" w:cs="Times New Roman"/>
          <w:szCs w:val="21"/>
        </w:rPr>
        <w:tab/>
      </w:r>
      <w:r>
        <w:rPr>
          <w:rFonts w:hint="eastAsia" w:ascii="宋体" w:hAnsi="宋体" w:eastAsia="宋体" w:cs="Times New Roman"/>
          <w:szCs w:val="21"/>
          <w:lang w:val="zh-CN"/>
        </w:rPr>
        <w:t>33</w:t>
      </w:r>
    </w:p>
    <w:p>
      <w:pPr>
        <w:pStyle w:val="10"/>
        <w:ind w:firstLine="0"/>
        <w:rPr>
          <w:rFonts w:ascii="宋体" w:hAnsi="宋体" w:eastAsia="宋体" w:cs="Times New Roman"/>
        </w:rPr>
      </w:pPr>
      <w:r>
        <w:rPr>
          <w:rFonts w:hint="eastAsia" w:ascii="宋体" w:hAnsi="宋体" w:eastAsia="宋体" w:cs="Times New Roman"/>
        </w:rPr>
        <w:t>8</w:t>
      </w:r>
      <w:r>
        <w:rPr>
          <w:rFonts w:ascii="宋体" w:hAnsi="宋体" w:eastAsia="宋体" w:cs="Times New Roman"/>
        </w:rPr>
        <w:t xml:space="preserve">  </w:t>
      </w:r>
      <w:r>
        <w:rPr>
          <w:rFonts w:hint="eastAsia" w:ascii="宋体" w:hAnsi="宋体" w:eastAsia="宋体" w:cs="Times New Roman"/>
        </w:rPr>
        <w:t>低碳评价</w:t>
      </w:r>
      <w:r>
        <w:rPr>
          <w:rFonts w:ascii="宋体" w:hAnsi="宋体" w:eastAsia="宋体" w:cs="Times New Roman"/>
        </w:rPr>
        <w:tab/>
      </w:r>
      <w:r>
        <w:rPr>
          <w:rFonts w:hint="eastAsia" w:ascii="宋体" w:hAnsi="宋体" w:eastAsia="宋体" w:cs="Times New Roman"/>
          <w:lang w:val="zh-CN"/>
        </w:rPr>
        <w:t>35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 xml:space="preserve">.1  </w:t>
      </w:r>
      <w:r>
        <w:rPr>
          <w:rFonts w:hint="eastAsia" w:ascii="宋体" w:hAnsi="宋体" w:eastAsia="宋体" w:cs="Times New Roman"/>
          <w:sz w:val="18"/>
          <w:szCs w:val="18"/>
        </w:rPr>
        <w:t>一般规定</w:t>
      </w:r>
      <w:r>
        <w:rPr>
          <w:rFonts w:ascii="宋体" w:hAnsi="宋体" w:eastAsia="宋体" w:cs="Times New Roman"/>
          <w:szCs w:val="21"/>
        </w:rPr>
        <w:tab/>
      </w:r>
      <w:r>
        <w:rPr>
          <w:rFonts w:hint="eastAsia" w:ascii="宋体" w:hAnsi="宋体" w:eastAsia="宋体" w:cs="Times New Roman"/>
          <w:szCs w:val="21"/>
          <w:lang w:val="zh-CN"/>
        </w:rPr>
        <w:t>35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w:t>
      </w:r>
      <w:r>
        <w:rPr>
          <w:rFonts w:hint="eastAsia" w:ascii="宋体" w:hAnsi="宋体" w:eastAsia="宋体" w:cs="Times New Roman"/>
          <w:sz w:val="18"/>
          <w:szCs w:val="18"/>
        </w:rPr>
        <w:t>2</w:t>
      </w:r>
      <w:r>
        <w:rPr>
          <w:rFonts w:ascii="宋体" w:hAnsi="宋体" w:eastAsia="宋体" w:cs="Times New Roman"/>
          <w:sz w:val="18"/>
          <w:szCs w:val="18"/>
        </w:rPr>
        <w:t xml:space="preserve">  </w:t>
      </w:r>
      <w:r>
        <w:rPr>
          <w:rFonts w:hint="eastAsia" w:ascii="宋体" w:hAnsi="宋体" w:eastAsia="宋体" w:cs="Times New Roman"/>
          <w:sz w:val="18"/>
          <w:szCs w:val="18"/>
        </w:rPr>
        <w:t>评价要求和流程</w:t>
      </w:r>
      <w:r>
        <w:rPr>
          <w:rFonts w:ascii="宋体" w:hAnsi="宋体" w:eastAsia="宋体" w:cs="Times New Roman"/>
          <w:szCs w:val="21"/>
        </w:rPr>
        <w:tab/>
      </w:r>
      <w:r>
        <w:rPr>
          <w:rFonts w:hint="eastAsia" w:ascii="宋体" w:hAnsi="宋体" w:eastAsia="宋体" w:cs="Times New Roman"/>
          <w:szCs w:val="21"/>
          <w:lang w:val="zh-CN"/>
        </w:rPr>
        <w:t>35</w:t>
      </w:r>
    </w:p>
    <w:p>
      <w:pPr>
        <w:pStyle w:val="5"/>
        <w:ind w:left="0" w:leftChars="0" w:firstLine="205" w:firstLineChars="114"/>
        <w:rPr>
          <w:rFonts w:ascii="宋体" w:hAnsi="宋体" w:eastAsia="宋体" w:cs="Times New Roman"/>
          <w:lang w:val="zh-CN"/>
        </w:rPr>
      </w:pPr>
      <w:r>
        <w:rPr>
          <w:rFonts w:hint="eastAsia" w:ascii="宋体" w:hAnsi="宋体" w:eastAsia="宋体" w:cs="Times New Roman"/>
          <w:sz w:val="18"/>
          <w:szCs w:val="18"/>
        </w:rPr>
        <w:t>8</w:t>
      </w:r>
      <w:r>
        <w:rPr>
          <w:rFonts w:ascii="宋体" w:hAnsi="宋体" w:eastAsia="宋体" w:cs="Times New Roman"/>
          <w:sz w:val="18"/>
          <w:szCs w:val="18"/>
        </w:rPr>
        <w:t>.</w:t>
      </w:r>
      <w:r>
        <w:rPr>
          <w:rFonts w:hint="eastAsia" w:ascii="宋体" w:hAnsi="宋体" w:eastAsia="宋体" w:cs="Times New Roman"/>
          <w:sz w:val="18"/>
          <w:szCs w:val="18"/>
        </w:rPr>
        <w:t>3</w:t>
      </w:r>
      <w:r>
        <w:rPr>
          <w:rFonts w:ascii="宋体" w:hAnsi="宋体" w:eastAsia="宋体" w:cs="Times New Roman"/>
          <w:sz w:val="18"/>
          <w:szCs w:val="18"/>
        </w:rPr>
        <w:t xml:space="preserve">  </w:t>
      </w:r>
      <w:r>
        <w:rPr>
          <w:rFonts w:hint="eastAsia" w:ascii="宋体" w:hAnsi="宋体" w:eastAsia="宋体" w:cs="Times New Roman"/>
          <w:sz w:val="18"/>
          <w:szCs w:val="18"/>
        </w:rPr>
        <w:t>评价方法与指标</w:t>
      </w:r>
      <w:r>
        <w:rPr>
          <w:rFonts w:ascii="宋体" w:hAnsi="宋体" w:eastAsia="宋体" w:cs="Times New Roman"/>
          <w:szCs w:val="21"/>
        </w:rPr>
        <w:tab/>
      </w:r>
      <w:r>
        <w:rPr>
          <w:rFonts w:hint="eastAsia" w:ascii="宋体" w:hAnsi="宋体" w:eastAsia="宋体" w:cs="Times New Roman"/>
          <w:szCs w:val="21"/>
          <w:lang w:val="zh-CN"/>
        </w:rPr>
        <w:t>36</w:t>
      </w:r>
    </w:p>
    <w:p>
      <w:pPr>
        <w:pStyle w:val="12"/>
        <w:ind w:left="0" w:leftChars="0"/>
        <w:rPr>
          <w:rFonts w:ascii="宋体" w:hAnsi="宋体" w:eastAsia="宋体" w:cs="Times New Roman"/>
          <w:lang w:val="zh-CN"/>
        </w:rPr>
      </w:pPr>
      <w:r>
        <w:rPr>
          <w:rFonts w:hint="eastAsia" w:ascii="宋体" w:hAnsi="宋体" w:eastAsia="宋体" w:cs="Times New Roman"/>
        </w:rPr>
        <w:t>附录</w:t>
      </w:r>
      <w:r>
        <w:rPr>
          <w:rFonts w:ascii="Times New Roman" w:hAnsi="Times New Roman" w:eastAsia="宋体" w:cs="Times New Roman"/>
        </w:rPr>
        <w:t>A</w:t>
      </w:r>
      <w:r>
        <w:rPr>
          <w:rFonts w:hint="eastAsia" w:ascii="Times New Roman" w:hAnsi="Times New Roman" w:eastAsia="宋体" w:cs="Times New Roman"/>
        </w:rPr>
        <w:t xml:space="preserve">  道路工程全寿命周期碳排放量计算表单</w:t>
      </w:r>
      <w:r>
        <w:rPr>
          <w:rFonts w:ascii="宋体" w:hAnsi="宋体" w:eastAsia="宋体" w:cs="Times New Roman"/>
        </w:rPr>
        <w:tab/>
      </w:r>
      <w:r>
        <w:rPr>
          <w:rFonts w:hint="eastAsia" w:ascii="宋体" w:hAnsi="宋体" w:eastAsia="宋体" w:cs="Times New Roman"/>
          <w:lang w:val="zh-CN"/>
        </w:rPr>
        <w:t>42</w:t>
      </w:r>
    </w:p>
    <w:p>
      <w:pPr>
        <w:pStyle w:val="12"/>
        <w:ind w:left="0" w:leftChars="0"/>
        <w:rPr>
          <w:rFonts w:ascii="宋体" w:hAnsi="宋体" w:eastAsia="宋体" w:cs="Times New Roman"/>
          <w:lang w:val="zh-CN"/>
        </w:rPr>
      </w:pPr>
      <w:r>
        <w:rPr>
          <w:rFonts w:hint="eastAsia" w:ascii="宋体" w:hAnsi="宋体" w:eastAsia="宋体" w:cs="Times New Roman"/>
        </w:rPr>
        <w:t>附录</w:t>
      </w:r>
      <w:r>
        <w:rPr>
          <w:rFonts w:hint="eastAsia" w:ascii="Times New Roman" w:hAnsi="Times New Roman" w:eastAsia="宋体" w:cs="Times New Roman"/>
        </w:rPr>
        <w:t>B  碳排放因子</w:t>
      </w:r>
      <w:r>
        <w:rPr>
          <w:rFonts w:ascii="宋体" w:hAnsi="宋体" w:eastAsia="宋体" w:cs="Times New Roman"/>
        </w:rPr>
        <w:tab/>
      </w:r>
      <w:r>
        <w:rPr>
          <w:rFonts w:hint="eastAsia" w:ascii="宋体" w:hAnsi="宋体" w:eastAsia="宋体" w:cs="Times New Roman"/>
          <w:lang w:val="zh-CN"/>
        </w:rPr>
        <w:t>45</w:t>
      </w:r>
    </w:p>
    <w:p>
      <w:pPr>
        <w:pStyle w:val="12"/>
        <w:ind w:left="0" w:leftChars="0"/>
        <w:rPr>
          <w:rFonts w:ascii="宋体" w:hAnsi="宋体" w:eastAsia="宋体" w:cs="Times New Roman"/>
          <w:lang w:val="zh-CN"/>
        </w:rPr>
      </w:pPr>
      <w:r>
        <w:rPr>
          <w:rFonts w:hint="eastAsia" w:ascii="宋体" w:hAnsi="宋体" w:eastAsia="宋体" w:cs="Times New Roman"/>
        </w:rPr>
        <w:t>附录</w:t>
      </w:r>
      <w:r>
        <w:rPr>
          <w:rFonts w:hint="eastAsia" w:ascii="Times New Roman" w:hAnsi="Times New Roman" w:eastAsia="宋体" w:cs="Times New Roman"/>
        </w:rPr>
        <w:t>C  碳汇</w:t>
      </w:r>
      <w:r>
        <w:rPr>
          <w:rFonts w:ascii="宋体" w:hAnsi="宋体" w:eastAsia="宋体" w:cs="Times New Roman"/>
        </w:rPr>
        <w:tab/>
      </w:r>
      <w:r>
        <w:rPr>
          <w:rFonts w:hint="eastAsia" w:ascii="宋体" w:hAnsi="宋体" w:eastAsia="宋体" w:cs="Times New Roman"/>
          <w:lang w:val="zh-CN"/>
        </w:rPr>
        <w:t>99</w:t>
      </w:r>
    </w:p>
    <w:p>
      <w:pPr>
        <w:pStyle w:val="12"/>
        <w:ind w:left="0" w:leftChars="0"/>
        <w:rPr>
          <w:rFonts w:ascii="宋体" w:hAnsi="宋体" w:eastAsia="宋体" w:cs="Times New Roman"/>
          <w:lang w:val="zh-CN"/>
        </w:rPr>
      </w:pPr>
      <w:r>
        <w:rPr>
          <w:rFonts w:hint="eastAsia" w:ascii="宋体" w:hAnsi="宋体" w:eastAsia="宋体" w:cs="Times New Roman"/>
        </w:rPr>
        <w:t>本标准用词说明</w:t>
      </w:r>
      <w:r>
        <w:rPr>
          <w:rFonts w:ascii="宋体" w:hAnsi="宋体" w:eastAsia="宋体" w:cs="Times New Roman"/>
        </w:rPr>
        <w:tab/>
      </w:r>
      <w:r>
        <w:rPr>
          <w:rFonts w:hint="eastAsia" w:ascii="宋体" w:hAnsi="宋体" w:eastAsia="宋体" w:cs="Times New Roman"/>
          <w:lang w:val="zh-CN"/>
        </w:rPr>
        <w:t>103</w:t>
      </w:r>
    </w:p>
    <w:p>
      <w:pPr>
        <w:pStyle w:val="12"/>
        <w:ind w:left="0" w:leftChars="0"/>
        <w:rPr>
          <w:rFonts w:ascii="宋体" w:hAnsi="宋体" w:eastAsia="宋体" w:cs="Times New Roman"/>
          <w:lang w:val="zh-CN"/>
        </w:rPr>
      </w:pPr>
      <w:r>
        <w:rPr>
          <w:rFonts w:hint="eastAsia" w:ascii="宋体" w:hAnsi="宋体" w:eastAsia="宋体" w:cs="Times New Roman"/>
        </w:rPr>
        <w:t>引用标准名录</w:t>
      </w:r>
      <w:r>
        <w:rPr>
          <w:rFonts w:ascii="宋体" w:hAnsi="宋体" w:eastAsia="宋体" w:cs="Times New Roman"/>
        </w:rPr>
        <w:tab/>
      </w:r>
      <w:r>
        <w:rPr>
          <w:rFonts w:hint="eastAsia" w:ascii="宋体" w:hAnsi="宋体" w:eastAsia="宋体" w:cs="Times New Roman"/>
          <w:lang w:val="zh-CN"/>
        </w:rPr>
        <w:t>104</w:t>
      </w:r>
    </w:p>
    <w:p>
      <w:pPr>
        <w:pStyle w:val="29"/>
        <w:widowControl/>
        <w:spacing w:before="360" w:after="360" w:line="240" w:lineRule="auto"/>
        <w:jc w:val="center"/>
        <w:rPr>
          <w:rFonts w:eastAsia="仿宋"/>
          <w:b w:val="0"/>
          <w:bCs w:val="0"/>
          <w:kern w:val="2"/>
          <w:sz w:val="28"/>
          <w:szCs w:val="28"/>
        </w:rPr>
      </w:pPr>
      <w:r>
        <w:rPr>
          <w:rFonts w:eastAsia="仿宋"/>
          <w:b w:val="0"/>
          <w:bCs w:val="0"/>
          <w:kern w:val="2"/>
          <w:sz w:val="28"/>
          <w:szCs w:val="28"/>
        </w:rPr>
        <w:t>Contents</w:t>
      </w:r>
    </w:p>
    <w:p>
      <w:pPr>
        <w:pStyle w:val="10"/>
        <w:ind w:firstLine="0"/>
        <w:rPr>
          <w:rFonts w:ascii="宋体" w:hAnsi="宋体" w:eastAsia="宋体" w:cs="Times New Roman"/>
        </w:rPr>
      </w:pPr>
      <w:r>
        <w:rPr>
          <w:rFonts w:ascii="Times New Roman" w:hAnsi="Times New Roman" w:cs="Times New Roman"/>
        </w:rPr>
        <w:t>1  General Provisions</w:t>
      </w:r>
      <w:r>
        <w:rPr>
          <w:rFonts w:ascii="宋体" w:hAnsi="宋体" w:eastAsia="宋体" w:cs="Times New Roman"/>
        </w:rPr>
        <w:tab/>
      </w:r>
      <w:r>
        <w:rPr>
          <w:rFonts w:ascii="宋体" w:hAnsi="宋体" w:eastAsia="宋体" w:cs="Times New Roman"/>
        </w:rPr>
        <w:t>1</w:t>
      </w:r>
    </w:p>
    <w:p>
      <w:pPr>
        <w:pStyle w:val="10"/>
        <w:ind w:firstLine="0"/>
        <w:rPr>
          <w:rFonts w:ascii="Times New Roman" w:hAnsi="Times New Roman" w:cs="Times New Roman"/>
        </w:rPr>
      </w:pPr>
      <w:r>
        <w:rPr>
          <w:rFonts w:ascii="Times New Roman" w:hAnsi="Times New Roman" w:cs="Times New Roman"/>
        </w:rPr>
        <w:t>2  Terms</w:t>
      </w:r>
      <w:r>
        <w:rPr>
          <w:rFonts w:hint="eastAsia" w:ascii="Times New Roman" w:hAnsi="Times New Roman" w:cs="Times New Roman"/>
        </w:rPr>
        <w:t xml:space="preserve"> </w:t>
      </w:r>
      <w:r>
        <w:rPr>
          <w:rFonts w:ascii="Times New Roman" w:hAnsi="Times New Roman" w:cs="Times New Roman"/>
        </w:rPr>
        <w:t>and Symbols</w:t>
      </w:r>
      <w:r>
        <w:rPr>
          <w:rFonts w:ascii="宋体" w:hAnsi="宋体" w:eastAsia="宋体" w:cs="Times New Roman"/>
        </w:rPr>
        <w:tab/>
      </w:r>
      <w:r>
        <w:rPr>
          <w:rFonts w:hint="eastAsia" w:ascii="宋体" w:hAnsi="宋体" w:eastAsia="宋体" w:cs="Times New Roman"/>
        </w:rPr>
        <w:t>2</w:t>
      </w:r>
    </w:p>
    <w:p>
      <w:pPr>
        <w:pStyle w:val="5"/>
        <w:ind w:left="0" w:leftChars="0" w:firstLine="205" w:firstLineChars="114"/>
        <w:rPr>
          <w:rFonts w:ascii="Times New Roman" w:hAnsi="Times New Roman" w:cs="Times New Roman"/>
          <w:lang w:val="en-GB"/>
        </w:rPr>
      </w:pPr>
      <w:r>
        <w:rPr>
          <w:rFonts w:ascii="Times New Roman" w:hAnsi="Times New Roman" w:cs="Times New Roman"/>
          <w:sz w:val="18"/>
          <w:szCs w:val="18"/>
        </w:rPr>
        <w:t>2</w:t>
      </w:r>
      <w:r>
        <w:rPr>
          <w:rFonts w:ascii="宋体" w:hAnsi="宋体" w:eastAsia="宋体" w:cs="Times New Roman"/>
          <w:sz w:val="18"/>
          <w:szCs w:val="18"/>
        </w:rPr>
        <w:t>.</w:t>
      </w:r>
      <w:r>
        <w:rPr>
          <w:rFonts w:ascii="Times New Roman" w:hAnsi="Times New Roman" w:cs="Times New Roman"/>
          <w:sz w:val="18"/>
          <w:szCs w:val="18"/>
        </w:rPr>
        <w:t>1  Terms</w:t>
      </w:r>
      <w:r>
        <w:rPr>
          <w:rFonts w:ascii="宋体" w:hAnsi="宋体" w:eastAsia="宋体" w:cs="Times New Roman"/>
          <w:sz w:val="20"/>
          <w:szCs w:val="21"/>
        </w:rPr>
        <w:tab/>
      </w:r>
      <w:r>
        <w:rPr>
          <w:rFonts w:hint="eastAsia" w:ascii="宋体" w:hAnsi="宋体" w:eastAsia="宋体" w:cs="Times New Roman"/>
        </w:rPr>
        <w:t>2</w:t>
      </w:r>
    </w:p>
    <w:p>
      <w:pPr>
        <w:pStyle w:val="5"/>
        <w:ind w:left="0" w:leftChars="0" w:firstLine="205" w:firstLineChars="114"/>
        <w:rPr>
          <w:rFonts w:ascii="宋体" w:hAnsi="宋体" w:eastAsia="宋体" w:cs="Times New Roman"/>
          <w:szCs w:val="21"/>
        </w:rPr>
      </w:pPr>
      <w:r>
        <w:rPr>
          <w:rFonts w:ascii="Times New Roman" w:hAnsi="Times New Roman" w:cs="Times New Roman"/>
          <w:sz w:val="18"/>
          <w:szCs w:val="18"/>
        </w:rPr>
        <w:t>2</w:t>
      </w:r>
      <w:r>
        <w:rPr>
          <w:rFonts w:ascii="宋体" w:hAnsi="宋体" w:eastAsia="宋体" w:cs="Times New Roman"/>
          <w:sz w:val="18"/>
          <w:szCs w:val="18"/>
        </w:rPr>
        <w:t>.</w:t>
      </w:r>
      <w:r>
        <w:rPr>
          <w:rFonts w:ascii="Times New Roman" w:hAnsi="Times New Roman" w:cs="Times New Roman"/>
          <w:sz w:val="18"/>
          <w:szCs w:val="18"/>
        </w:rPr>
        <w:t>2  S</w:t>
      </w:r>
      <w:r>
        <w:rPr>
          <w:rFonts w:hint="eastAsia" w:ascii="Times New Roman" w:hAnsi="Times New Roman" w:cs="Times New Roman"/>
          <w:sz w:val="18"/>
          <w:szCs w:val="18"/>
        </w:rPr>
        <w:t>ymbols</w:t>
      </w:r>
      <w:r>
        <w:rPr>
          <w:rFonts w:ascii="宋体" w:hAnsi="宋体" w:eastAsia="宋体" w:cs="Times New Roman"/>
          <w:szCs w:val="21"/>
        </w:rPr>
        <w:tab/>
      </w:r>
      <w:r>
        <w:rPr>
          <w:rFonts w:hint="eastAsia" w:ascii="宋体" w:hAnsi="宋体" w:eastAsia="宋体" w:cs="Times New Roman"/>
          <w:szCs w:val="21"/>
        </w:rPr>
        <w:t>3</w:t>
      </w:r>
    </w:p>
    <w:p>
      <w:pPr>
        <w:pStyle w:val="10"/>
        <w:ind w:firstLine="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 xml:space="preserve">  </w:t>
      </w:r>
      <w:r>
        <w:rPr>
          <w:rFonts w:hint="eastAsia" w:ascii="Times New Roman" w:hAnsi="Times New Roman" w:cs="Times New Roman"/>
        </w:rPr>
        <w:t>Basic Requirements</w:t>
      </w:r>
      <w:r>
        <w:rPr>
          <w:rFonts w:ascii="宋体" w:hAnsi="宋体" w:eastAsia="宋体" w:cs="Times New Roman"/>
        </w:rPr>
        <w:tab/>
      </w:r>
      <w:r>
        <w:rPr>
          <w:rFonts w:hint="eastAsia" w:ascii="宋体" w:hAnsi="宋体" w:eastAsia="宋体" w:cs="Times New Roman"/>
        </w:rPr>
        <w:t>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3</w:t>
      </w:r>
      <w:r>
        <w:rPr>
          <w:rFonts w:ascii="宋体" w:hAnsi="宋体" w:eastAsia="宋体" w:cs="Times New Roman"/>
          <w:sz w:val="18"/>
          <w:szCs w:val="18"/>
        </w:rPr>
        <w:t>.</w:t>
      </w:r>
      <w:r>
        <w:rPr>
          <w:rFonts w:ascii="Times New Roman" w:hAnsi="Times New Roman" w:cs="Times New Roman"/>
          <w:sz w:val="18"/>
          <w:szCs w:val="18"/>
        </w:rPr>
        <w:t>1  Low-carbon</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Design </w:t>
      </w:r>
      <w:r>
        <w:rPr>
          <w:rFonts w:hint="eastAsia" w:ascii="Times New Roman" w:hAnsi="Times New Roman" w:cs="Times New Roman"/>
          <w:sz w:val="18"/>
          <w:szCs w:val="18"/>
        </w:rPr>
        <w:t>P</w:t>
      </w:r>
      <w:r>
        <w:rPr>
          <w:rFonts w:ascii="Times New Roman" w:hAnsi="Times New Roman" w:cs="Times New Roman"/>
          <w:sz w:val="18"/>
          <w:szCs w:val="18"/>
        </w:rPr>
        <w:t>rinciple</w:t>
      </w:r>
      <w:r>
        <w:rPr>
          <w:rFonts w:hint="eastAsia" w:ascii="Times New Roman" w:hAnsi="Times New Roman" w:cs="Times New Roman"/>
          <w:sz w:val="18"/>
          <w:szCs w:val="18"/>
        </w:rPr>
        <w:t>s</w:t>
      </w:r>
      <w:r>
        <w:rPr>
          <w:rFonts w:ascii="宋体" w:hAnsi="宋体" w:eastAsia="宋体" w:cs="Times New Roman"/>
          <w:sz w:val="20"/>
          <w:szCs w:val="21"/>
        </w:rPr>
        <w:tab/>
      </w:r>
      <w:r>
        <w:rPr>
          <w:rFonts w:hint="eastAsia" w:ascii="宋体" w:hAnsi="宋体" w:eastAsia="宋体" w:cs="Times New Roman"/>
        </w:rPr>
        <w:t>5</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3</w:t>
      </w:r>
      <w:r>
        <w:rPr>
          <w:rFonts w:ascii="宋体" w:hAnsi="宋体" w:eastAsia="宋体" w:cs="Times New Roman"/>
          <w:sz w:val="18"/>
          <w:szCs w:val="18"/>
        </w:rPr>
        <w:t>.</w:t>
      </w:r>
      <w:r>
        <w:rPr>
          <w:rFonts w:ascii="Times New Roman" w:hAnsi="Times New Roman" w:cs="Times New Roman"/>
          <w:sz w:val="18"/>
          <w:szCs w:val="18"/>
        </w:rPr>
        <w:t xml:space="preserve">2  Indicator </w:t>
      </w:r>
      <w:r>
        <w:rPr>
          <w:rFonts w:hint="eastAsia" w:ascii="Times New Roman" w:hAnsi="Times New Roman" w:cs="Times New Roman"/>
          <w:sz w:val="18"/>
          <w:szCs w:val="18"/>
        </w:rPr>
        <w:t>S</w:t>
      </w:r>
      <w:r>
        <w:rPr>
          <w:rFonts w:ascii="Times New Roman" w:hAnsi="Times New Roman" w:cs="Times New Roman"/>
          <w:sz w:val="18"/>
          <w:szCs w:val="18"/>
        </w:rPr>
        <w:t>ystem</w:t>
      </w:r>
      <w:r>
        <w:rPr>
          <w:rFonts w:hint="eastAsia" w:ascii="Times New Roman" w:hAnsi="Times New Roman" w:cs="Times New Roman"/>
          <w:sz w:val="18"/>
          <w:szCs w:val="18"/>
        </w:rPr>
        <w:t xml:space="preserve"> of Carbon Emission</w:t>
      </w:r>
      <w:r>
        <w:rPr>
          <w:rFonts w:ascii="宋体" w:hAnsi="宋体" w:eastAsia="宋体" w:cs="Times New Roman"/>
          <w:szCs w:val="21"/>
        </w:rPr>
        <w:tab/>
      </w:r>
      <w:r>
        <w:rPr>
          <w:rFonts w:hint="eastAsia" w:ascii="宋体" w:hAnsi="宋体" w:eastAsia="宋体" w:cs="Times New Roman"/>
          <w:szCs w:val="21"/>
        </w:rPr>
        <w:t>6</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3</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Key Technical Points of </w:t>
      </w:r>
      <w:r>
        <w:rPr>
          <w:rFonts w:ascii="Times New Roman" w:hAnsi="Times New Roman" w:cs="Times New Roman"/>
          <w:sz w:val="18"/>
          <w:szCs w:val="18"/>
        </w:rPr>
        <w:t>Low-carbon Road Engineering</w:t>
      </w:r>
      <w:r>
        <w:rPr>
          <w:rFonts w:ascii="宋体" w:hAnsi="宋体" w:eastAsia="宋体" w:cs="Times New Roman"/>
          <w:szCs w:val="21"/>
        </w:rPr>
        <w:tab/>
      </w:r>
      <w:r>
        <w:rPr>
          <w:rFonts w:hint="eastAsia" w:ascii="宋体" w:hAnsi="宋体" w:eastAsia="宋体" w:cs="Times New Roman"/>
          <w:szCs w:val="21"/>
        </w:rPr>
        <w:t>7</w:t>
      </w:r>
    </w:p>
    <w:p>
      <w:pPr>
        <w:pStyle w:val="10"/>
        <w:ind w:firstLine="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 xml:space="preserve">  Calculation </w:t>
      </w:r>
      <w:r>
        <w:rPr>
          <w:rFonts w:hint="eastAsia" w:ascii="Times New Roman" w:hAnsi="Times New Roman" w:cs="Times New Roman"/>
        </w:rPr>
        <w:t>M</w:t>
      </w:r>
      <w:r>
        <w:rPr>
          <w:rFonts w:ascii="Times New Roman" w:hAnsi="Times New Roman" w:cs="Times New Roman"/>
        </w:rPr>
        <w:t xml:space="preserve">ethod and </w:t>
      </w:r>
      <w:r>
        <w:rPr>
          <w:rFonts w:hint="eastAsia" w:ascii="Times New Roman" w:hAnsi="Times New Roman" w:cs="Times New Roman"/>
        </w:rPr>
        <w:t>P</w:t>
      </w:r>
      <w:r>
        <w:rPr>
          <w:rFonts w:ascii="Times New Roman" w:hAnsi="Times New Roman" w:cs="Times New Roman"/>
        </w:rPr>
        <w:t xml:space="preserve">rocess for </w:t>
      </w:r>
      <w:r>
        <w:rPr>
          <w:rFonts w:hint="eastAsia" w:ascii="Times New Roman" w:hAnsi="Times New Roman" w:cs="Times New Roman"/>
        </w:rPr>
        <w:t>C</w:t>
      </w:r>
      <w:r>
        <w:rPr>
          <w:rFonts w:ascii="Times New Roman" w:hAnsi="Times New Roman" w:cs="Times New Roman"/>
        </w:rPr>
        <w:t xml:space="preserve">arbon </w:t>
      </w:r>
      <w:r>
        <w:rPr>
          <w:rFonts w:hint="eastAsia" w:ascii="Times New Roman" w:hAnsi="Times New Roman" w:cs="Times New Roman"/>
        </w:rPr>
        <w:t>E</w:t>
      </w:r>
      <w:r>
        <w:rPr>
          <w:rFonts w:ascii="Times New Roman" w:hAnsi="Times New Roman" w:cs="Times New Roman"/>
        </w:rPr>
        <w:t>mission</w:t>
      </w:r>
      <w:r>
        <w:rPr>
          <w:rFonts w:ascii="宋体" w:hAnsi="宋体" w:eastAsia="宋体" w:cs="Times New Roman"/>
        </w:rPr>
        <w:tab/>
      </w:r>
      <w:r>
        <w:rPr>
          <w:rFonts w:hint="eastAsia" w:ascii="宋体" w:hAnsi="宋体" w:eastAsia="宋体" w:cs="Times New Roman"/>
        </w:rPr>
        <w:t>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4</w:t>
      </w:r>
      <w:r>
        <w:rPr>
          <w:rFonts w:ascii="宋体" w:hAnsi="宋体" w:eastAsia="宋体" w:cs="Times New Roman"/>
          <w:sz w:val="18"/>
          <w:szCs w:val="18"/>
        </w:rPr>
        <w:t>.</w:t>
      </w:r>
      <w:r>
        <w:rPr>
          <w:rFonts w:ascii="Times New Roman" w:hAnsi="Times New Roman" w:cs="Times New Roman"/>
          <w:sz w:val="18"/>
          <w:szCs w:val="18"/>
        </w:rPr>
        <w:t xml:space="preserve">1  </w:t>
      </w:r>
      <w:r>
        <w:rPr>
          <w:rFonts w:hint="eastAsia" w:ascii="Times New Roman" w:hAnsi="Times New Roman" w:cs="Times New Roman"/>
          <w:sz w:val="18"/>
          <w:szCs w:val="18"/>
        </w:rPr>
        <w:t>General Requirements</w:t>
      </w:r>
      <w:r>
        <w:rPr>
          <w:rFonts w:ascii="宋体" w:hAnsi="宋体" w:eastAsia="宋体" w:cs="Times New Roman"/>
          <w:sz w:val="20"/>
          <w:szCs w:val="21"/>
        </w:rPr>
        <w:tab/>
      </w:r>
      <w:r>
        <w:rPr>
          <w:rFonts w:hint="eastAsia" w:ascii="宋体" w:hAnsi="宋体" w:eastAsia="宋体" w:cs="Times New Roman"/>
        </w:rPr>
        <w:t>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4</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Calculation </w:t>
      </w:r>
      <w:r>
        <w:rPr>
          <w:rFonts w:hint="eastAsia" w:ascii="Times New Roman" w:hAnsi="Times New Roman" w:cs="Times New Roman"/>
          <w:sz w:val="18"/>
          <w:szCs w:val="18"/>
        </w:rPr>
        <w:t>M</w:t>
      </w:r>
      <w:r>
        <w:rPr>
          <w:rFonts w:ascii="Times New Roman" w:hAnsi="Times New Roman" w:cs="Times New Roman"/>
          <w:sz w:val="18"/>
          <w:szCs w:val="18"/>
        </w:rPr>
        <w:t>ethod</w:t>
      </w:r>
      <w:r>
        <w:rPr>
          <w:rFonts w:ascii="宋体" w:hAnsi="宋体" w:eastAsia="宋体" w:cs="Times New Roman"/>
          <w:sz w:val="20"/>
          <w:szCs w:val="21"/>
        </w:rPr>
        <w:tab/>
      </w:r>
      <w:r>
        <w:rPr>
          <w:rFonts w:hint="eastAsia" w:ascii="宋体" w:hAnsi="宋体" w:eastAsia="宋体" w:cs="Times New Roman"/>
        </w:rPr>
        <w:t>9</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4</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Calculation Process</w:t>
      </w:r>
      <w:r>
        <w:rPr>
          <w:rFonts w:ascii="宋体" w:hAnsi="宋体" w:eastAsia="宋体" w:cs="Times New Roman"/>
          <w:szCs w:val="21"/>
        </w:rPr>
        <w:tab/>
      </w:r>
      <w:r>
        <w:rPr>
          <w:rFonts w:hint="eastAsia" w:ascii="宋体" w:hAnsi="宋体" w:eastAsia="宋体" w:cs="Times New Roman"/>
          <w:szCs w:val="21"/>
        </w:rPr>
        <w:t>13</w:t>
      </w:r>
    </w:p>
    <w:p>
      <w:pPr>
        <w:pStyle w:val="10"/>
        <w:ind w:firstLine="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 xml:space="preserve">  Utilization of </w:t>
      </w:r>
      <w:r>
        <w:rPr>
          <w:rFonts w:hint="eastAsia" w:ascii="Times New Roman" w:hAnsi="Times New Roman" w:cs="Times New Roman"/>
        </w:rPr>
        <w:t>L</w:t>
      </w:r>
      <w:r>
        <w:rPr>
          <w:rFonts w:ascii="Times New Roman" w:hAnsi="Times New Roman" w:cs="Times New Roman"/>
        </w:rPr>
        <w:t xml:space="preserve">ow-carbon </w:t>
      </w:r>
      <w:r>
        <w:rPr>
          <w:rFonts w:hint="eastAsia" w:ascii="Times New Roman" w:hAnsi="Times New Roman" w:cs="Times New Roman"/>
        </w:rPr>
        <w:t>E</w:t>
      </w:r>
      <w:r>
        <w:rPr>
          <w:rFonts w:ascii="Times New Roman" w:hAnsi="Times New Roman" w:cs="Times New Roman"/>
        </w:rPr>
        <w:t xml:space="preserve">nergy and </w:t>
      </w:r>
      <w:r>
        <w:rPr>
          <w:rFonts w:hint="eastAsia" w:ascii="Times New Roman" w:hAnsi="Times New Roman" w:cs="Times New Roman"/>
        </w:rPr>
        <w:t>R</w:t>
      </w:r>
      <w:r>
        <w:rPr>
          <w:rFonts w:ascii="Times New Roman" w:hAnsi="Times New Roman" w:cs="Times New Roman"/>
        </w:rPr>
        <w:t>esources</w:t>
      </w:r>
      <w:r>
        <w:rPr>
          <w:rFonts w:ascii="宋体" w:hAnsi="宋体" w:eastAsia="宋体" w:cs="Times New Roman"/>
        </w:rPr>
        <w:tab/>
      </w:r>
      <w:r>
        <w:rPr>
          <w:rFonts w:hint="eastAsia" w:ascii="宋体" w:hAnsi="宋体" w:eastAsia="宋体" w:cs="Times New Roman"/>
        </w:rPr>
        <w:t>15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5</w:t>
      </w:r>
      <w:r>
        <w:rPr>
          <w:rFonts w:ascii="宋体" w:hAnsi="宋体" w:eastAsia="宋体" w:cs="Times New Roman"/>
          <w:sz w:val="18"/>
          <w:szCs w:val="18"/>
        </w:rPr>
        <w:t>.</w:t>
      </w:r>
      <w:r>
        <w:rPr>
          <w:rFonts w:ascii="Times New Roman" w:hAnsi="Times New Roman" w:cs="Times New Roman"/>
          <w:sz w:val="18"/>
          <w:szCs w:val="18"/>
        </w:rPr>
        <w:t>1  General Requirement</w:t>
      </w:r>
      <w:r>
        <w:rPr>
          <w:rFonts w:hint="eastAsia" w:ascii="Times New Roman" w:hAnsi="Times New Roman" w:cs="Times New Roman"/>
          <w:sz w:val="18"/>
          <w:szCs w:val="18"/>
        </w:rPr>
        <w:t>s</w:t>
      </w:r>
      <w:r>
        <w:rPr>
          <w:rFonts w:ascii="宋体" w:hAnsi="宋体" w:eastAsia="宋体" w:cs="Times New Roman"/>
          <w:sz w:val="20"/>
          <w:szCs w:val="21"/>
        </w:rPr>
        <w:tab/>
      </w:r>
      <w:r>
        <w:rPr>
          <w:rFonts w:hint="eastAsia" w:ascii="宋体" w:hAnsi="宋体" w:eastAsia="宋体" w:cs="Times New Roman"/>
        </w:rPr>
        <w:t>15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5</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Utilization of </w:t>
      </w:r>
      <w:r>
        <w:rPr>
          <w:rFonts w:hint="eastAsia" w:ascii="Times New Roman" w:hAnsi="Times New Roman" w:cs="Times New Roman"/>
          <w:sz w:val="18"/>
          <w:szCs w:val="18"/>
        </w:rPr>
        <w:t>R</w:t>
      </w:r>
      <w:r>
        <w:rPr>
          <w:rFonts w:ascii="Times New Roman" w:hAnsi="Times New Roman" w:cs="Times New Roman"/>
          <w:sz w:val="18"/>
          <w:szCs w:val="18"/>
        </w:rPr>
        <w:t xml:space="preserve">enewable </w:t>
      </w:r>
      <w:r>
        <w:rPr>
          <w:rFonts w:hint="eastAsia" w:ascii="Times New Roman" w:hAnsi="Times New Roman" w:cs="Times New Roman"/>
          <w:sz w:val="18"/>
          <w:szCs w:val="18"/>
        </w:rPr>
        <w:t>E</w:t>
      </w:r>
      <w:r>
        <w:rPr>
          <w:rFonts w:ascii="Times New Roman" w:hAnsi="Times New Roman" w:cs="Times New Roman"/>
          <w:sz w:val="18"/>
          <w:szCs w:val="18"/>
        </w:rPr>
        <w:t>nergy</w:t>
      </w:r>
      <w:r>
        <w:rPr>
          <w:rFonts w:ascii="宋体" w:hAnsi="宋体" w:eastAsia="宋体" w:cs="Times New Roman"/>
          <w:sz w:val="20"/>
          <w:szCs w:val="21"/>
        </w:rPr>
        <w:tab/>
      </w:r>
      <w:r>
        <w:rPr>
          <w:rFonts w:hint="eastAsia" w:ascii="宋体" w:hAnsi="宋体" w:eastAsia="宋体" w:cs="Times New Roman"/>
        </w:rPr>
        <w:t>15</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5</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Recycling of </w:t>
      </w:r>
      <w:r>
        <w:rPr>
          <w:rFonts w:hint="eastAsia" w:ascii="Times New Roman" w:hAnsi="Times New Roman" w:cs="Times New Roman"/>
          <w:sz w:val="18"/>
          <w:szCs w:val="18"/>
        </w:rPr>
        <w:t>R</w:t>
      </w:r>
      <w:r>
        <w:rPr>
          <w:rFonts w:ascii="Times New Roman" w:hAnsi="Times New Roman" w:cs="Times New Roman"/>
          <w:sz w:val="18"/>
          <w:szCs w:val="18"/>
        </w:rPr>
        <w:t>esources</w:t>
      </w:r>
      <w:r>
        <w:rPr>
          <w:rFonts w:ascii="宋体" w:hAnsi="宋体" w:eastAsia="宋体" w:cs="Times New Roman"/>
          <w:szCs w:val="21"/>
        </w:rPr>
        <w:tab/>
      </w:r>
      <w:r>
        <w:rPr>
          <w:rFonts w:hint="eastAsia" w:ascii="宋体" w:hAnsi="宋体" w:eastAsia="宋体" w:cs="Times New Roman"/>
          <w:szCs w:val="21"/>
        </w:rPr>
        <w:t>16</w:t>
      </w:r>
    </w:p>
    <w:p>
      <w:pPr>
        <w:pStyle w:val="10"/>
        <w:ind w:firstLine="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 xml:space="preserve">  Low-carbon </w:t>
      </w:r>
      <w:r>
        <w:rPr>
          <w:rFonts w:hint="eastAsia" w:ascii="Times New Roman" w:hAnsi="Times New Roman" w:cs="Times New Roman"/>
        </w:rPr>
        <w:t>M</w:t>
      </w:r>
      <w:r>
        <w:rPr>
          <w:rFonts w:ascii="Times New Roman" w:hAnsi="Times New Roman" w:cs="Times New Roman"/>
        </w:rPr>
        <w:t xml:space="preserve">aterials, </w:t>
      </w:r>
      <w:r>
        <w:rPr>
          <w:rFonts w:hint="eastAsia" w:ascii="Times New Roman" w:hAnsi="Times New Roman" w:cs="Times New Roman"/>
        </w:rPr>
        <w:t>T</w:t>
      </w:r>
      <w:r>
        <w:rPr>
          <w:rFonts w:ascii="Times New Roman" w:hAnsi="Times New Roman" w:cs="Times New Roman"/>
        </w:rPr>
        <w:t xml:space="preserve">echnologies, </w:t>
      </w:r>
      <w:r>
        <w:rPr>
          <w:rFonts w:hint="eastAsia" w:ascii="Times New Roman" w:hAnsi="Times New Roman" w:cs="Times New Roman"/>
        </w:rPr>
        <w:t>P</w:t>
      </w:r>
      <w:r>
        <w:rPr>
          <w:rFonts w:ascii="Times New Roman" w:hAnsi="Times New Roman" w:cs="Times New Roman"/>
        </w:rPr>
        <w:t xml:space="preserve">rocesses, and </w:t>
      </w:r>
      <w:r>
        <w:rPr>
          <w:rFonts w:hint="eastAsia" w:ascii="Times New Roman" w:hAnsi="Times New Roman" w:cs="Times New Roman"/>
        </w:rPr>
        <w:t>E</w:t>
      </w:r>
      <w:r>
        <w:rPr>
          <w:rFonts w:ascii="Times New Roman" w:hAnsi="Times New Roman" w:cs="Times New Roman"/>
        </w:rPr>
        <w:t>quipment</w:t>
      </w:r>
      <w:r>
        <w:rPr>
          <w:rFonts w:ascii="宋体" w:hAnsi="宋体" w:eastAsia="宋体" w:cs="Times New Roman"/>
        </w:rPr>
        <w:tab/>
      </w:r>
      <w:r>
        <w:rPr>
          <w:rFonts w:hint="eastAsia" w:ascii="宋体" w:hAnsi="宋体" w:eastAsia="宋体" w:cs="Times New Roman"/>
        </w:rPr>
        <w:t>19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6</w:t>
      </w:r>
      <w:r>
        <w:rPr>
          <w:rFonts w:ascii="宋体" w:hAnsi="宋体" w:eastAsia="宋体" w:cs="Times New Roman"/>
          <w:sz w:val="18"/>
          <w:szCs w:val="18"/>
        </w:rPr>
        <w:t>.</w:t>
      </w:r>
      <w:r>
        <w:rPr>
          <w:rFonts w:ascii="Times New Roman" w:hAnsi="Times New Roman" w:cs="Times New Roman"/>
          <w:sz w:val="18"/>
          <w:szCs w:val="18"/>
        </w:rPr>
        <w:t>1  General Requirements</w:t>
      </w:r>
      <w:r>
        <w:rPr>
          <w:rFonts w:ascii="宋体" w:hAnsi="宋体" w:eastAsia="宋体" w:cs="Times New Roman"/>
          <w:sz w:val="20"/>
          <w:szCs w:val="21"/>
        </w:rPr>
        <w:tab/>
      </w:r>
      <w:r>
        <w:rPr>
          <w:rFonts w:hint="eastAsia" w:ascii="宋体" w:hAnsi="宋体" w:eastAsia="宋体" w:cs="Times New Roman"/>
        </w:rPr>
        <w:t>19</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6</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Low-carbon </w:t>
      </w:r>
      <w:r>
        <w:rPr>
          <w:rFonts w:hint="eastAsia" w:ascii="Times New Roman" w:hAnsi="Times New Roman" w:cs="Times New Roman"/>
          <w:sz w:val="18"/>
          <w:szCs w:val="18"/>
        </w:rPr>
        <w:t>M</w:t>
      </w:r>
      <w:r>
        <w:rPr>
          <w:rFonts w:ascii="Times New Roman" w:hAnsi="Times New Roman" w:cs="Times New Roman"/>
          <w:sz w:val="18"/>
          <w:szCs w:val="18"/>
        </w:rPr>
        <w:t>aterials</w:t>
      </w:r>
      <w:r>
        <w:rPr>
          <w:rFonts w:ascii="宋体" w:hAnsi="宋体" w:eastAsia="宋体" w:cs="Times New Roman"/>
          <w:sz w:val="20"/>
          <w:szCs w:val="21"/>
        </w:rPr>
        <w:tab/>
      </w:r>
      <w:r>
        <w:rPr>
          <w:rFonts w:hint="eastAsia" w:ascii="宋体" w:hAnsi="宋体" w:eastAsia="宋体" w:cs="Times New Roman"/>
        </w:rPr>
        <w:t>19</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6</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Low-carbon </w:t>
      </w:r>
      <w:r>
        <w:rPr>
          <w:rFonts w:hint="eastAsia" w:ascii="Times New Roman" w:hAnsi="Times New Roman" w:cs="Times New Roman"/>
          <w:sz w:val="18"/>
          <w:szCs w:val="18"/>
        </w:rPr>
        <w:t>T</w:t>
      </w:r>
      <w:r>
        <w:rPr>
          <w:rFonts w:ascii="Times New Roman" w:hAnsi="Times New Roman" w:cs="Times New Roman"/>
          <w:sz w:val="18"/>
          <w:szCs w:val="18"/>
        </w:rPr>
        <w:t xml:space="preserve">echnologies and </w:t>
      </w:r>
      <w:r>
        <w:rPr>
          <w:rFonts w:hint="eastAsia" w:ascii="Times New Roman" w:hAnsi="Times New Roman" w:cs="Times New Roman"/>
          <w:sz w:val="18"/>
          <w:szCs w:val="18"/>
        </w:rPr>
        <w:t>P</w:t>
      </w:r>
      <w:r>
        <w:rPr>
          <w:rFonts w:ascii="Times New Roman" w:hAnsi="Times New Roman" w:cs="Times New Roman"/>
          <w:sz w:val="18"/>
          <w:szCs w:val="18"/>
        </w:rPr>
        <w:t>rocesses</w:t>
      </w:r>
      <w:r>
        <w:rPr>
          <w:rFonts w:ascii="宋体" w:hAnsi="宋体" w:eastAsia="宋体" w:cs="Times New Roman"/>
          <w:szCs w:val="21"/>
        </w:rPr>
        <w:tab/>
      </w:r>
      <w:r>
        <w:rPr>
          <w:rFonts w:hint="eastAsia" w:ascii="宋体" w:hAnsi="宋体" w:eastAsia="宋体" w:cs="Times New Roman"/>
          <w:szCs w:val="21"/>
        </w:rPr>
        <w:t>19</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6</w:t>
      </w:r>
      <w:r>
        <w:rPr>
          <w:rFonts w:ascii="宋体" w:hAnsi="宋体" w:eastAsia="宋体" w:cs="Times New Roman"/>
          <w:sz w:val="18"/>
          <w:szCs w:val="18"/>
        </w:rPr>
        <w:t>.</w:t>
      </w:r>
      <w:r>
        <w:rPr>
          <w:rFonts w:hint="eastAsia" w:ascii="Times New Roman" w:hAnsi="Times New Roman" w:cs="Times New Roman"/>
          <w:sz w:val="18"/>
          <w:szCs w:val="18"/>
        </w:rPr>
        <w:t>4</w:t>
      </w:r>
      <w:r>
        <w:rPr>
          <w:rFonts w:ascii="Times New Roman" w:hAnsi="Times New Roman" w:cs="Times New Roman"/>
          <w:sz w:val="18"/>
          <w:szCs w:val="18"/>
        </w:rPr>
        <w:t xml:space="preserve">  Low-carbon </w:t>
      </w:r>
      <w:r>
        <w:rPr>
          <w:rFonts w:hint="eastAsia" w:ascii="Times New Roman" w:hAnsi="Times New Roman" w:cs="Times New Roman"/>
          <w:sz w:val="18"/>
          <w:szCs w:val="18"/>
        </w:rPr>
        <w:t>E</w:t>
      </w:r>
      <w:r>
        <w:rPr>
          <w:rFonts w:ascii="Times New Roman" w:hAnsi="Times New Roman" w:cs="Times New Roman"/>
          <w:sz w:val="18"/>
          <w:szCs w:val="18"/>
        </w:rPr>
        <w:t>quipment</w:t>
      </w:r>
      <w:r>
        <w:rPr>
          <w:rFonts w:ascii="宋体" w:hAnsi="宋体" w:eastAsia="宋体" w:cs="Times New Roman"/>
          <w:szCs w:val="21"/>
        </w:rPr>
        <w:tab/>
      </w:r>
      <w:r>
        <w:rPr>
          <w:rFonts w:hint="eastAsia" w:ascii="宋体" w:hAnsi="宋体" w:eastAsia="宋体" w:cs="Times New Roman"/>
          <w:szCs w:val="21"/>
        </w:rPr>
        <w:t>20</w:t>
      </w:r>
    </w:p>
    <w:p>
      <w:pPr>
        <w:pStyle w:val="10"/>
        <w:ind w:firstLine="0"/>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 xml:space="preserve">  </w:t>
      </w:r>
      <w:r>
        <w:rPr>
          <w:rFonts w:hint="eastAsia" w:ascii="Times New Roman" w:hAnsi="Times New Roman" w:cs="Times New Roman"/>
        </w:rPr>
        <w:t>L</w:t>
      </w:r>
      <w:r>
        <w:rPr>
          <w:rFonts w:ascii="Times New Roman" w:hAnsi="Times New Roman" w:cs="Times New Roman"/>
        </w:rPr>
        <w:t xml:space="preserve">ow-carbon </w:t>
      </w:r>
      <w:r>
        <w:rPr>
          <w:rFonts w:hint="eastAsia" w:ascii="Times New Roman" w:hAnsi="Times New Roman" w:cs="Times New Roman"/>
        </w:rPr>
        <w:t>Design Requirements on LCA</w:t>
      </w:r>
      <w:r>
        <w:rPr>
          <w:rFonts w:ascii="宋体" w:hAnsi="宋体" w:eastAsia="宋体" w:cs="Times New Roman"/>
        </w:rPr>
        <w:tab/>
      </w:r>
      <w:r>
        <w:rPr>
          <w:rFonts w:hint="eastAsia" w:ascii="宋体" w:hAnsi="宋体" w:eastAsia="宋体" w:cs="Times New Roman"/>
        </w:rPr>
        <w:t>21</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ascii="Times New Roman" w:hAnsi="Times New Roman" w:cs="Times New Roman"/>
          <w:sz w:val="18"/>
          <w:szCs w:val="18"/>
        </w:rPr>
        <w:t>1  General Requirements</w:t>
      </w:r>
      <w:r>
        <w:rPr>
          <w:rFonts w:ascii="宋体" w:hAnsi="宋体" w:eastAsia="宋体" w:cs="Times New Roman"/>
          <w:sz w:val="20"/>
          <w:szCs w:val="21"/>
        </w:rPr>
        <w:tab/>
      </w:r>
      <w:r>
        <w:rPr>
          <w:rFonts w:hint="eastAsia" w:ascii="宋体" w:hAnsi="宋体" w:eastAsia="宋体" w:cs="Times New Roman"/>
        </w:rPr>
        <w:t>21</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Low-carbon Design Re</w:t>
      </w:r>
      <w:r>
        <w:rPr>
          <w:rFonts w:hint="eastAsia" w:ascii="Times New Roman" w:hAnsi="Times New Roman" w:cs="Times New Roman"/>
          <w:sz w:val="18"/>
          <w:szCs w:val="18"/>
        </w:rPr>
        <w:t xml:space="preserve">quirements </w:t>
      </w:r>
      <w:r>
        <w:rPr>
          <w:rFonts w:ascii="Times New Roman" w:hAnsi="Times New Roman" w:cs="Times New Roman"/>
          <w:sz w:val="18"/>
          <w:szCs w:val="18"/>
        </w:rPr>
        <w:t>in the Design Stage</w:t>
      </w:r>
      <w:r>
        <w:rPr>
          <w:rFonts w:ascii="宋体" w:hAnsi="宋体" w:eastAsia="宋体" w:cs="Times New Roman"/>
          <w:sz w:val="20"/>
          <w:szCs w:val="21"/>
        </w:rPr>
        <w:tab/>
      </w:r>
      <w:r>
        <w:rPr>
          <w:rFonts w:hint="eastAsia" w:ascii="宋体" w:hAnsi="宋体" w:eastAsia="宋体" w:cs="Times New Roman"/>
        </w:rPr>
        <w:t>21</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Para</w:t>
      </w:r>
      <w:r>
        <w:rPr>
          <w:rFonts w:hint="eastAsia" w:ascii="Times New Roman" w:hAnsi="Times New Roman" w:cs="Times New Roman"/>
          <w:sz w:val="18"/>
          <w:szCs w:val="18"/>
        </w:rPr>
        <w:t xml:space="preserve">meter </w:t>
      </w:r>
      <w:r>
        <w:rPr>
          <w:rFonts w:ascii="Times New Roman" w:hAnsi="Times New Roman" w:cs="Times New Roman"/>
          <w:sz w:val="18"/>
          <w:szCs w:val="18"/>
        </w:rPr>
        <w:t xml:space="preserve">Optimization in the </w:t>
      </w:r>
      <w:r>
        <w:rPr>
          <w:rFonts w:hint="eastAsia" w:ascii="Times New Roman" w:hAnsi="Times New Roman" w:cs="Times New Roman"/>
          <w:sz w:val="18"/>
          <w:szCs w:val="18"/>
        </w:rPr>
        <w:t>D</w:t>
      </w:r>
      <w:r>
        <w:rPr>
          <w:rFonts w:ascii="Times New Roman" w:hAnsi="Times New Roman" w:cs="Times New Roman"/>
          <w:sz w:val="18"/>
          <w:szCs w:val="18"/>
        </w:rPr>
        <w:t xml:space="preserve">esign </w:t>
      </w:r>
      <w:r>
        <w:rPr>
          <w:rFonts w:hint="eastAsia" w:ascii="Times New Roman" w:hAnsi="Times New Roman" w:cs="Times New Roman"/>
          <w:sz w:val="18"/>
          <w:szCs w:val="18"/>
        </w:rPr>
        <w:t>S</w:t>
      </w:r>
      <w:r>
        <w:rPr>
          <w:rFonts w:ascii="Times New Roman" w:hAnsi="Times New Roman" w:cs="Times New Roman"/>
          <w:sz w:val="18"/>
          <w:szCs w:val="18"/>
        </w:rPr>
        <w:t>tage</w:t>
      </w:r>
      <w:r>
        <w:rPr>
          <w:rFonts w:ascii="宋体" w:hAnsi="宋体" w:eastAsia="宋体" w:cs="Times New Roman"/>
          <w:szCs w:val="21"/>
        </w:rPr>
        <w:tab/>
      </w:r>
      <w:r>
        <w:rPr>
          <w:rFonts w:hint="eastAsia" w:ascii="宋体" w:hAnsi="宋体" w:eastAsia="宋体" w:cs="Times New Roman"/>
          <w:szCs w:val="21"/>
        </w:rPr>
        <w:t>26</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4</w:t>
      </w:r>
      <w:r>
        <w:rPr>
          <w:rFonts w:ascii="Times New Roman" w:hAnsi="Times New Roman" w:cs="Times New Roman"/>
          <w:sz w:val="18"/>
          <w:szCs w:val="18"/>
        </w:rPr>
        <w:t xml:space="preserve">  Low-carbon Design</w:t>
      </w:r>
      <w:r>
        <w:rPr>
          <w:rFonts w:hint="eastAsia" w:ascii="Times New Roman" w:hAnsi="Times New Roman" w:cs="Times New Roman"/>
          <w:sz w:val="18"/>
          <w:szCs w:val="18"/>
        </w:rPr>
        <w:t xml:space="preserve"> Requirements</w:t>
      </w:r>
      <w:r>
        <w:rPr>
          <w:rFonts w:ascii="Times New Roman" w:hAnsi="Times New Roman" w:cs="Times New Roman"/>
          <w:sz w:val="18"/>
          <w:szCs w:val="18"/>
        </w:rPr>
        <w:t xml:space="preserve"> in the </w:t>
      </w:r>
      <w:r>
        <w:rPr>
          <w:rFonts w:hint="eastAsia" w:ascii="Times New Roman" w:hAnsi="Times New Roman" w:cs="Times New Roman"/>
          <w:sz w:val="18"/>
          <w:szCs w:val="18"/>
        </w:rPr>
        <w:t>C</w:t>
      </w:r>
      <w:r>
        <w:rPr>
          <w:rFonts w:ascii="Times New Roman" w:hAnsi="Times New Roman" w:cs="Times New Roman"/>
          <w:sz w:val="18"/>
          <w:szCs w:val="18"/>
        </w:rPr>
        <w:t xml:space="preserve">onstruction </w:t>
      </w:r>
      <w:r>
        <w:rPr>
          <w:rFonts w:hint="eastAsia" w:ascii="Times New Roman" w:hAnsi="Times New Roman" w:cs="Times New Roman"/>
          <w:sz w:val="18"/>
          <w:szCs w:val="18"/>
        </w:rPr>
        <w:t>S</w:t>
      </w:r>
      <w:r>
        <w:rPr>
          <w:rFonts w:ascii="Times New Roman" w:hAnsi="Times New Roman" w:cs="Times New Roman"/>
          <w:sz w:val="18"/>
          <w:szCs w:val="18"/>
        </w:rPr>
        <w:t>tage</w:t>
      </w:r>
      <w:r>
        <w:rPr>
          <w:rFonts w:ascii="宋体" w:hAnsi="宋体" w:eastAsia="宋体" w:cs="Times New Roman"/>
          <w:sz w:val="20"/>
          <w:szCs w:val="21"/>
        </w:rPr>
        <w:tab/>
      </w:r>
      <w:r>
        <w:rPr>
          <w:rFonts w:hint="eastAsia" w:ascii="宋体" w:hAnsi="宋体" w:eastAsia="宋体" w:cs="Times New Roman"/>
          <w:sz w:val="20"/>
          <w:szCs w:val="21"/>
        </w:rPr>
        <w:t>31</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5</w:t>
      </w:r>
      <w:r>
        <w:rPr>
          <w:rFonts w:ascii="Times New Roman" w:hAnsi="Times New Roman" w:cs="Times New Roman"/>
          <w:sz w:val="18"/>
          <w:szCs w:val="18"/>
        </w:rPr>
        <w:t xml:space="preserve">  Low-carbon Design</w:t>
      </w:r>
      <w:r>
        <w:rPr>
          <w:rFonts w:hint="eastAsia" w:ascii="Times New Roman" w:hAnsi="Times New Roman" w:cs="Times New Roman"/>
          <w:sz w:val="18"/>
          <w:szCs w:val="18"/>
        </w:rPr>
        <w:t xml:space="preserve"> Requirements</w:t>
      </w:r>
      <w:r>
        <w:rPr>
          <w:rFonts w:ascii="Times New Roman" w:hAnsi="Times New Roman" w:cs="Times New Roman"/>
          <w:sz w:val="18"/>
          <w:szCs w:val="18"/>
        </w:rPr>
        <w:t xml:space="preserve"> in the Operation and </w:t>
      </w:r>
      <w:r>
        <w:rPr>
          <w:rFonts w:hint="eastAsia" w:ascii="Times New Roman" w:hAnsi="Times New Roman" w:cs="Times New Roman"/>
          <w:sz w:val="18"/>
          <w:szCs w:val="18"/>
        </w:rPr>
        <w:t>M</w:t>
      </w:r>
      <w:r>
        <w:rPr>
          <w:rFonts w:ascii="Times New Roman" w:hAnsi="Times New Roman" w:cs="Times New Roman"/>
          <w:sz w:val="18"/>
          <w:szCs w:val="18"/>
        </w:rPr>
        <w:t xml:space="preserve">aintenance </w:t>
      </w:r>
      <w:r>
        <w:rPr>
          <w:rFonts w:hint="eastAsia" w:ascii="Times New Roman" w:hAnsi="Times New Roman" w:cs="Times New Roman"/>
          <w:sz w:val="18"/>
          <w:szCs w:val="18"/>
        </w:rPr>
        <w:t>S</w:t>
      </w:r>
      <w:r>
        <w:rPr>
          <w:rFonts w:ascii="Times New Roman" w:hAnsi="Times New Roman" w:cs="Times New Roman"/>
          <w:sz w:val="18"/>
          <w:szCs w:val="18"/>
        </w:rPr>
        <w:t>tage</w:t>
      </w:r>
      <w:r>
        <w:rPr>
          <w:rFonts w:ascii="宋体" w:hAnsi="宋体" w:eastAsia="宋体" w:cs="Times New Roman"/>
          <w:szCs w:val="21"/>
        </w:rPr>
        <w:tab/>
      </w:r>
      <w:r>
        <w:rPr>
          <w:rFonts w:hint="eastAsia" w:ascii="宋体" w:hAnsi="宋体" w:eastAsia="宋体" w:cs="Times New Roman"/>
          <w:szCs w:val="21"/>
        </w:rPr>
        <w:t>32</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7</w:t>
      </w:r>
      <w:r>
        <w:rPr>
          <w:rFonts w:ascii="宋体" w:hAnsi="宋体" w:eastAsia="宋体" w:cs="Times New Roman"/>
          <w:sz w:val="18"/>
          <w:szCs w:val="18"/>
        </w:rPr>
        <w:t>.</w:t>
      </w:r>
      <w:r>
        <w:rPr>
          <w:rFonts w:hint="eastAsia" w:ascii="Times New Roman" w:hAnsi="Times New Roman" w:cs="Times New Roman"/>
          <w:sz w:val="18"/>
          <w:szCs w:val="18"/>
        </w:rPr>
        <w:t>6</w:t>
      </w:r>
      <w:r>
        <w:rPr>
          <w:rFonts w:ascii="Times New Roman" w:hAnsi="Times New Roman" w:cs="Times New Roman"/>
          <w:sz w:val="18"/>
          <w:szCs w:val="18"/>
        </w:rPr>
        <w:t xml:space="preserve">  Inte</w:t>
      </w:r>
      <w:r>
        <w:rPr>
          <w:rFonts w:hint="eastAsia" w:ascii="Times New Roman" w:hAnsi="Times New Roman" w:cs="Times New Roman"/>
          <w:sz w:val="18"/>
          <w:szCs w:val="18"/>
        </w:rPr>
        <w:t xml:space="preserve">grated </w:t>
      </w:r>
      <w:r>
        <w:rPr>
          <w:rFonts w:ascii="Times New Roman" w:hAnsi="Times New Roman" w:cs="Times New Roman"/>
          <w:sz w:val="18"/>
          <w:szCs w:val="18"/>
        </w:rPr>
        <w:t>Low-carbon</w:t>
      </w:r>
      <w:r>
        <w:rPr>
          <w:rFonts w:hint="eastAsia" w:ascii="Times New Roman" w:hAnsi="Times New Roman" w:cs="Times New Roman"/>
          <w:sz w:val="18"/>
          <w:szCs w:val="18"/>
        </w:rPr>
        <w:t xml:space="preserve"> M</w:t>
      </w:r>
      <w:r>
        <w:rPr>
          <w:rFonts w:ascii="Times New Roman" w:hAnsi="Times New Roman" w:cs="Times New Roman"/>
          <w:sz w:val="18"/>
          <w:szCs w:val="18"/>
        </w:rPr>
        <w:t>anagement</w:t>
      </w:r>
      <w:r>
        <w:rPr>
          <w:rFonts w:ascii="宋体" w:hAnsi="宋体" w:eastAsia="宋体" w:cs="Times New Roman"/>
          <w:sz w:val="20"/>
          <w:szCs w:val="21"/>
        </w:rPr>
        <w:tab/>
      </w:r>
      <w:r>
        <w:rPr>
          <w:rFonts w:hint="eastAsia" w:ascii="宋体" w:hAnsi="宋体" w:eastAsia="宋体" w:cs="Times New Roman"/>
        </w:rPr>
        <w:t>33</w:t>
      </w:r>
    </w:p>
    <w:p>
      <w:pPr>
        <w:pStyle w:val="10"/>
        <w:ind w:firstLine="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 xml:space="preserve">  Low-carbon </w:t>
      </w:r>
      <w:r>
        <w:rPr>
          <w:rFonts w:hint="eastAsia" w:ascii="Times New Roman" w:hAnsi="Times New Roman" w:cs="Times New Roman"/>
        </w:rPr>
        <w:t>E</w:t>
      </w:r>
      <w:r>
        <w:rPr>
          <w:rFonts w:ascii="Times New Roman" w:hAnsi="Times New Roman" w:cs="Times New Roman"/>
        </w:rPr>
        <w:t>valuation</w:t>
      </w:r>
      <w:r>
        <w:rPr>
          <w:rFonts w:hint="eastAsia" w:ascii="Times New Roman" w:hAnsi="Times New Roman" w:cs="Times New Roman"/>
        </w:rPr>
        <w:t>s</w:t>
      </w:r>
      <w:r>
        <w:rPr>
          <w:rFonts w:ascii="宋体" w:hAnsi="宋体" w:eastAsia="宋体" w:cs="Times New Roman"/>
        </w:rPr>
        <w:tab/>
      </w:r>
      <w:r>
        <w:rPr>
          <w:rFonts w:hint="eastAsia" w:ascii="宋体" w:hAnsi="宋体" w:eastAsia="宋体" w:cs="Times New Roman"/>
        </w:rPr>
        <w:t>35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8</w:t>
      </w:r>
      <w:r>
        <w:rPr>
          <w:rFonts w:ascii="宋体" w:hAnsi="宋体" w:eastAsia="宋体" w:cs="Times New Roman"/>
          <w:sz w:val="18"/>
          <w:szCs w:val="18"/>
        </w:rPr>
        <w:t>.</w:t>
      </w:r>
      <w:r>
        <w:rPr>
          <w:rFonts w:ascii="Times New Roman" w:hAnsi="Times New Roman" w:cs="Times New Roman"/>
          <w:sz w:val="18"/>
          <w:szCs w:val="18"/>
        </w:rPr>
        <w:t>1  General Requirements</w:t>
      </w:r>
      <w:r>
        <w:rPr>
          <w:rFonts w:ascii="宋体" w:hAnsi="宋体" w:eastAsia="宋体" w:cs="Times New Roman"/>
          <w:sz w:val="20"/>
          <w:szCs w:val="21"/>
        </w:rPr>
        <w:tab/>
      </w:r>
      <w:r>
        <w:rPr>
          <w:rFonts w:hint="eastAsia" w:ascii="宋体" w:hAnsi="宋体" w:eastAsia="宋体" w:cs="Times New Roman"/>
        </w:rPr>
        <w:t>35</w:t>
      </w:r>
    </w:p>
    <w:p>
      <w:pPr>
        <w:pStyle w:val="5"/>
        <w:ind w:left="0" w:leftChars="0" w:firstLine="205" w:firstLineChars="114"/>
        <w:rPr>
          <w:rFonts w:ascii="Times New Roman" w:hAnsi="Times New Roman" w:cs="Times New Roman"/>
          <w:lang w:val="en-GB"/>
        </w:rPr>
      </w:pPr>
      <w:r>
        <w:rPr>
          <w:rFonts w:hint="eastAsia" w:ascii="Times New Roman" w:hAnsi="Times New Roman" w:cs="Times New Roman"/>
          <w:sz w:val="18"/>
          <w:szCs w:val="18"/>
        </w:rPr>
        <w:t>8</w:t>
      </w:r>
      <w:r>
        <w:rPr>
          <w:rFonts w:ascii="宋体" w:hAnsi="宋体" w:eastAsia="宋体" w:cs="Times New Roman"/>
          <w:sz w:val="18"/>
          <w:szCs w:val="18"/>
        </w:rPr>
        <w:t>.</w:t>
      </w:r>
      <w:r>
        <w:rPr>
          <w:rFonts w:hint="eastAsia" w:ascii="Times New Roman" w:hAnsi="Times New Roman" w:cs="Times New Roman"/>
          <w:sz w:val="18"/>
          <w:szCs w:val="18"/>
        </w:rPr>
        <w:t>2</w:t>
      </w:r>
      <w:r>
        <w:rPr>
          <w:rFonts w:ascii="Times New Roman" w:hAnsi="Times New Roman" w:cs="Times New Roman"/>
          <w:sz w:val="18"/>
          <w:szCs w:val="18"/>
        </w:rPr>
        <w:t xml:space="preserve">  Evaluation </w:t>
      </w:r>
      <w:r>
        <w:rPr>
          <w:rFonts w:hint="eastAsia" w:ascii="Times New Roman" w:hAnsi="Times New Roman" w:cs="Times New Roman"/>
          <w:sz w:val="18"/>
          <w:szCs w:val="18"/>
        </w:rPr>
        <w:t>R</w:t>
      </w:r>
      <w:r>
        <w:rPr>
          <w:rFonts w:ascii="Times New Roman" w:hAnsi="Times New Roman" w:cs="Times New Roman"/>
          <w:sz w:val="18"/>
          <w:szCs w:val="18"/>
        </w:rPr>
        <w:t xml:space="preserve">equirements and </w:t>
      </w:r>
      <w:r>
        <w:rPr>
          <w:rFonts w:hint="eastAsia" w:ascii="Times New Roman" w:hAnsi="Times New Roman" w:cs="Times New Roman"/>
          <w:sz w:val="18"/>
          <w:szCs w:val="18"/>
        </w:rPr>
        <w:t>P</w:t>
      </w:r>
      <w:r>
        <w:rPr>
          <w:rFonts w:ascii="Times New Roman" w:hAnsi="Times New Roman" w:cs="Times New Roman"/>
          <w:sz w:val="18"/>
          <w:szCs w:val="18"/>
        </w:rPr>
        <w:t>rocesses</w:t>
      </w:r>
      <w:r>
        <w:rPr>
          <w:rFonts w:ascii="宋体" w:hAnsi="宋体" w:eastAsia="宋体" w:cs="Times New Roman"/>
          <w:sz w:val="20"/>
          <w:szCs w:val="21"/>
        </w:rPr>
        <w:tab/>
      </w:r>
      <w:r>
        <w:rPr>
          <w:rFonts w:hint="eastAsia" w:ascii="宋体" w:hAnsi="宋体" w:eastAsia="宋体" w:cs="Times New Roman"/>
        </w:rPr>
        <w:t>35</w:t>
      </w:r>
    </w:p>
    <w:p>
      <w:pPr>
        <w:pStyle w:val="5"/>
        <w:ind w:left="0" w:leftChars="0" w:firstLine="205" w:firstLineChars="114"/>
        <w:rPr>
          <w:rFonts w:ascii="宋体" w:hAnsi="宋体" w:eastAsia="宋体" w:cs="Times New Roman"/>
          <w:szCs w:val="21"/>
        </w:rPr>
      </w:pPr>
      <w:r>
        <w:rPr>
          <w:rFonts w:hint="eastAsia" w:ascii="Times New Roman" w:hAnsi="Times New Roman" w:cs="Times New Roman"/>
          <w:sz w:val="18"/>
          <w:szCs w:val="18"/>
        </w:rPr>
        <w:t>8</w:t>
      </w:r>
      <w:r>
        <w:rPr>
          <w:rFonts w:ascii="宋体" w:hAnsi="宋体" w:eastAsia="宋体" w:cs="Times New Roman"/>
          <w:sz w:val="18"/>
          <w:szCs w:val="18"/>
        </w:rPr>
        <w:t>.</w:t>
      </w:r>
      <w:r>
        <w:rPr>
          <w:rFonts w:hint="eastAsia" w:ascii="Times New Roman" w:hAnsi="Times New Roman" w:cs="Times New Roman"/>
          <w:sz w:val="18"/>
          <w:szCs w:val="18"/>
        </w:rPr>
        <w:t>3</w:t>
      </w:r>
      <w:r>
        <w:rPr>
          <w:rFonts w:ascii="Times New Roman" w:hAnsi="Times New Roman" w:cs="Times New Roman"/>
          <w:sz w:val="18"/>
          <w:szCs w:val="18"/>
        </w:rPr>
        <w:t xml:space="preserve">  Evaluation </w:t>
      </w:r>
      <w:r>
        <w:rPr>
          <w:rFonts w:hint="eastAsia" w:ascii="Times New Roman" w:hAnsi="Times New Roman" w:cs="Times New Roman"/>
          <w:sz w:val="18"/>
          <w:szCs w:val="18"/>
        </w:rPr>
        <w:t>M</w:t>
      </w:r>
      <w:r>
        <w:rPr>
          <w:rFonts w:ascii="Times New Roman" w:hAnsi="Times New Roman" w:cs="Times New Roman"/>
          <w:sz w:val="18"/>
          <w:szCs w:val="18"/>
        </w:rPr>
        <w:t>ethods and</w:t>
      </w:r>
      <w:r>
        <w:rPr>
          <w:rFonts w:hint="eastAsia" w:ascii="Times New Roman" w:hAnsi="Times New Roman" w:cs="Times New Roman"/>
          <w:sz w:val="18"/>
          <w:szCs w:val="18"/>
        </w:rPr>
        <w:t xml:space="preserve"> I</w:t>
      </w:r>
      <w:r>
        <w:rPr>
          <w:rFonts w:ascii="Times New Roman" w:hAnsi="Times New Roman" w:cs="Times New Roman"/>
          <w:sz w:val="18"/>
          <w:szCs w:val="18"/>
        </w:rPr>
        <w:t>ndicators</w:t>
      </w:r>
      <w:r>
        <w:rPr>
          <w:rFonts w:ascii="宋体" w:hAnsi="宋体" w:eastAsia="宋体" w:cs="Times New Roman"/>
          <w:szCs w:val="21"/>
        </w:rPr>
        <w:tab/>
      </w:r>
      <w:r>
        <w:rPr>
          <w:rFonts w:hint="eastAsia" w:ascii="宋体" w:hAnsi="宋体" w:eastAsia="宋体" w:cs="Times New Roman"/>
          <w:szCs w:val="21"/>
        </w:rPr>
        <w:t>36</w:t>
      </w:r>
    </w:p>
    <w:p>
      <w:pPr>
        <w:pStyle w:val="12"/>
        <w:ind w:left="0" w:leftChars="0"/>
        <w:rPr>
          <w:rFonts w:ascii="宋体" w:hAnsi="宋体" w:eastAsia="宋体" w:cs="Times New Roma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 xml:space="preserve">A  </w:t>
      </w:r>
      <w:r>
        <w:rPr>
          <w:rFonts w:ascii="Times New Roman" w:hAnsi="Times New Roman" w:cs="Times New Roman"/>
        </w:rPr>
        <w:t xml:space="preserve">Carbon </w:t>
      </w:r>
      <w:r>
        <w:rPr>
          <w:rFonts w:hint="eastAsia" w:ascii="Times New Roman" w:hAnsi="Times New Roman" w:cs="Times New Roman"/>
        </w:rPr>
        <w:t>E</w:t>
      </w:r>
      <w:r>
        <w:rPr>
          <w:rFonts w:ascii="Times New Roman" w:hAnsi="Times New Roman" w:cs="Times New Roman"/>
        </w:rPr>
        <w:t xml:space="preserve">mission </w:t>
      </w:r>
      <w:r>
        <w:rPr>
          <w:rFonts w:hint="eastAsia" w:ascii="Times New Roman" w:hAnsi="Times New Roman" w:cs="Times New Roman"/>
        </w:rPr>
        <w:t>A</w:t>
      </w:r>
      <w:r>
        <w:rPr>
          <w:rFonts w:ascii="Times New Roman" w:hAnsi="Times New Roman" w:cs="Times New Roman"/>
        </w:rPr>
        <w:t xml:space="preserve">ccounting </w:t>
      </w:r>
      <w:r>
        <w:rPr>
          <w:rFonts w:hint="eastAsia" w:ascii="Times New Roman" w:hAnsi="Times New Roman" w:cs="Times New Roman"/>
        </w:rPr>
        <w:t>F</w:t>
      </w:r>
      <w:r>
        <w:rPr>
          <w:rFonts w:ascii="Times New Roman" w:hAnsi="Times New Roman" w:cs="Times New Roman"/>
        </w:rPr>
        <w:t xml:space="preserve">orm for </w:t>
      </w:r>
      <w:r>
        <w:rPr>
          <w:rFonts w:hint="eastAsia" w:ascii="Times New Roman" w:hAnsi="Times New Roman" w:cs="Times New Roman"/>
        </w:rPr>
        <w:t>R</w:t>
      </w:r>
      <w:r>
        <w:rPr>
          <w:rFonts w:ascii="Times New Roman" w:hAnsi="Times New Roman" w:cs="Times New Roman"/>
        </w:rPr>
        <w:t xml:space="preserve">oad </w:t>
      </w:r>
      <w:r>
        <w:rPr>
          <w:rFonts w:hint="eastAsia" w:ascii="Times New Roman" w:hAnsi="Times New Roman" w:cs="Times New Roman"/>
        </w:rPr>
        <w:t>E</w:t>
      </w:r>
      <w:r>
        <w:rPr>
          <w:rFonts w:ascii="Times New Roman" w:hAnsi="Times New Roman" w:cs="Times New Roman"/>
        </w:rPr>
        <w:t xml:space="preserve">ngineering </w:t>
      </w:r>
      <w:r>
        <w:rPr>
          <w:rFonts w:hint="eastAsia" w:ascii="Times New Roman" w:hAnsi="Times New Roman" w:cs="Times New Roman"/>
        </w:rPr>
        <w:t>on LCA</w:t>
      </w:r>
      <w:r>
        <w:rPr>
          <w:rFonts w:ascii="宋体" w:hAnsi="宋体" w:eastAsia="宋体" w:cs="Times New Roman"/>
        </w:rPr>
        <w:tab/>
      </w:r>
      <w:r>
        <w:rPr>
          <w:rFonts w:hint="eastAsia" w:ascii="宋体" w:hAnsi="宋体" w:eastAsia="宋体" w:cs="Times New Roman"/>
        </w:rPr>
        <w:t>42</w:t>
      </w:r>
    </w:p>
    <w:p>
      <w:pPr>
        <w:pStyle w:val="12"/>
        <w:ind w:left="0" w:leftChars="0"/>
        <w:rPr>
          <w:rFonts w:ascii="Times New Roman" w:hAnsi="Times New Roman" w:cs="Times New Roma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 xml:space="preserve">B  </w:t>
      </w:r>
      <w:r>
        <w:rPr>
          <w:rFonts w:ascii="Times New Roman" w:hAnsi="Times New Roman" w:cs="Times New Roman"/>
        </w:rPr>
        <w:t xml:space="preserve">Carbon </w:t>
      </w:r>
      <w:r>
        <w:rPr>
          <w:rFonts w:hint="eastAsia" w:ascii="Times New Roman" w:hAnsi="Times New Roman" w:cs="Times New Roman"/>
        </w:rPr>
        <w:t>E</w:t>
      </w:r>
      <w:r>
        <w:rPr>
          <w:rFonts w:ascii="Times New Roman" w:hAnsi="Times New Roman" w:cs="Times New Roman"/>
        </w:rPr>
        <w:t xml:space="preserve">mission </w:t>
      </w:r>
      <w:r>
        <w:rPr>
          <w:rFonts w:hint="eastAsia" w:ascii="Times New Roman" w:hAnsi="Times New Roman" w:cs="Times New Roman"/>
        </w:rPr>
        <w:t>F</w:t>
      </w:r>
      <w:r>
        <w:rPr>
          <w:rFonts w:ascii="Times New Roman" w:hAnsi="Times New Roman" w:cs="Times New Roman"/>
        </w:rPr>
        <w:t>actors</w:t>
      </w:r>
      <w:r>
        <w:rPr>
          <w:rFonts w:ascii="宋体" w:hAnsi="宋体" w:eastAsia="宋体" w:cs="Times New Roman"/>
        </w:rPr>
        <w:tab/>
      </w:r>
      <w:r>
        <w:rPr>
          <w:rFonts w:hint="eastAsia" w:ascii="宋体" w:hAnsi="宋体" w:eastAsia="宋体" w:cs="Times New Roman"/>
        </w:rPr>
        <w:t>45</w:t>
      </w:r>
    </w:p>
    <w:p>
      <w:pPr>
        <w:pStyle w:val="12"/>
        <w:ind w:left="0" w:leftChars="0"/>
        <w:rPr>
          <w:rFonts w:ascii="Times New Roman" w:hAnsi="Times New Roman" w:cs="Times New Roman"/>
        </w:rPr>
      </w:pPr>
      <w:r>
        <w:rPr>
          <w:rFonts w:hint="eastAsia" w:ascii="Times New Roman" w:hAnsi="Times New Roman" w:cs="Times New Roman"/>
        </w:rPr>
        <w:t>Appendix</w:t>
      </w:r>
      <w:r>
        <w:rPr>
          <w:rFonts w:ascii="Times New Roman" w:hAnsi="Times New Roman" w:cs="Times New Roman"/>
        </w:rPr>
        <w:t xml:space="preserve"> </w:t>
      </w:r>
      <w:r>
        <w:rPr>
          <w:rFonts w:hint="eastAsia" w:ascii="Times New Roman" w:hAnsi="Times New Roman" w:cs="Times New Roman"/>
        </w:rPr>
        <w:t xml:space="preserve">C  </w:t>
      </w:r>
      <w:r>
        <w:rPr>
          <w:rFonts w:ascii="Times New Roman" w:hAnsi="Times New Roman" w:cs="Times New Roman"/>
        </w:rPr>
        <w:t>Carbon Sink</w:t>
      </w:r>
      <w:r>
        <w:rPr>
          <w:rFonts w:ascii="宋体" w:hAnsi="宋体" w:eastAsia="宋体" w:cs="Times New Roman"/>
        </w:rPr>
        <w:tab/>
      </w:r>
      <w:r>
        <w:rPr>
          <w:rFonts w:hint="eastAsia" w:ascii="宋体" w:hAnsi="宋体" w:eastAsia="宋体" w:cs="Times New Roman"/>
        </w:rPr>
        <w:t>99</w:t>
      </w:r>
    </w:p>
    <w:p>
      <w:pPr>
        <w:pStyle w:val="12"/>
        <w:ind w:left="0" w:leftChars="0"/>
        <w:rPr>
          <w:rFonts w:ascii="宋体" w:hAnsi="宋体" w:eastAsia="宋体" w:cs="Times New Roman"/>
        </w:rPr>
      </w:pPr>
      <w:r>
        <w:rPr>
          <w:rFonts w:hint="eastAsia" w:ascii="Times New Roman" w:hAnsi="Times New Roman" w:cs="Times New Roman"/>
        </w:rPr>
        <w:t>E</w:t>
      </w:r>
      <w:r>
        <w:rPr>
          <w:rFonts w:ascii="Times New Roman" w:hAnsi="Times New Roman" w:cs="Times New Roman"/>
        </w:rPr>
        <w:t>xplanation of Wording in This Standard</w:t>
      </w:r>
      <w:r>
        <w:rPr>
          <w:rFonts w:ascii="宋体" w:hAnsi="宋体" w:eastAsia="宋体" w:cs="Times New Roman"/>
        </w:rPr>
        <w:tab/>
      </w:r>
      <w:r>
        <w:rPr>
          <w:rFonts w:hint="eastAsia" w:ascii="宋体" w:hAnsi="宋体" w:eastAsia="宋体" w:cs="Times New Roman"/>
        </w:rPr>
        <w:t>103</w:t>
      </w:r>
    </w:p>
    <w:p>
      <w:pPr>
        <w:pStyle w:val="12"/>
        <w:ind w:left="0" w:leftChars="0"/>
        <w:rPr>
          <w:rFonts w:ascii="Times New Roman" w:hAnsi="Times New Roman" w:cs="Times New Roman"/>
        </w:rPr>
      </w:pPr>
      <w:r>
        <w:rPr>
          <w:rFonts w:ascii="Times New Roman" w:hAnsi="Times New Roman" w:cs="Times New Roman"/>
        </w:rPr>
        <w:t>List of Quoted Standards</w:t>
      </w:r>
      <w:r>
        <w:rPr>
          <w:rFonts w:ascii="宋体" w:hAnsi="宋体" w:eastAsia="宋体" w:cs="Times New Roman"/>
        </w:rPr>
        <w:tab/>
      </w:r>
      <w:r>
        <w:rPr>
          <w:rFonts w:hint="eastAsia" w:ascii="宋体" w:hAnsi="宋体" w:eastAsia="宋体" w:cs="Times New Roman"/>
        </w:rPr>
        <w:t>104</w:t>
      </w:r>
    </w:p>
    <w:p>
      <w:pPr>
        <w:sectPr>
          <w:footerReference r:id="rId5" w:type="default"/>
          <w:pgSz w:w="11906" w:h="16838"/>
          <w:pgMar w:top="1610" w:right="1349" w:bottom="1213" w:left="1293" w:header="851" w:footer="992" w:gutter="0"/>
          <w:cols w:space="720" w:num="1"/>
          <w:titlePg/>
          <w:docGrid w:type="lines" w:linePitch="333" w:charSpace="2165"/>
        </w:sectPr>
      </w:pPr>
    </w:p>
    <w:p>
      <w:pPr>
        <w:keepNext/>
        <w:keepLines/>
        <w:spacing w:after="360" w:line="240" w:lineRule="auto"/>
        <w:jc w:val="center"/>
        <w:outlineLvl w:val="0"/>
        <w:rPr>
          <w:rStyle w:val="19"/>
          <w:rFonts w:ascii="宋体" w:hAnsi="宋体" w:eastAsia="宋体" w:cs="Times New Roman"/>
          <w:b w:val="0"/>
          <w:bCs w:val="0"/>
          <w:sz w:val="28"/>
          <w:szCs w:val="21"/>
        </w:rPr>
      </w:pPr>
      <w:bookmarkStart w:id="13" w:name="_Toc160030973"/>
      <w:bookmarkStart w:id="14" w:name="_Toc160032798"/>
      <w:bookmarkStart w:id="15" w:name="_Toc160030711"/>
      <w:bookmarkStart w:id="16" w:name="_Toc161134655"/>
      <w:bookmarkStart w:id="17" w:name="OLE_LINK270"/>
      <w:bookmarkStart w:id="18" w:name="OLE_LINK271"/>
      <w:r>
        <w:rPr>
          <w:rStyle w:val="19"/>
          <w:rFonts w:ascii="Times New Roman" w:hAnsi="Times New Roman" w:cs="Times New Roman"/>
          <w:sz w:val="28"/>
          <w:szCs w:val="21"/>
        </w:rPr>
        <w:t>1</w:t>
      </w:r>
      <w:r>
        <w:rPr>
          <w:rStyle w:val="19"/>
          <w:rFonts w:ascii="宋体" w:hAnsi="宋体" w:eastAsia="宋体" w:cs="Times New Roman"/>
          <w:b w:val="0"/>
          <w:bCs w:val="0"/>
          <w:sz w:val="28"/>
          <w:szCs w:val="21"/>
        </w:rPr>
        <w:t xml:space="preserve">  总    则</w:t>
      </w:r>
      <w:bookmarkEnd w:id="13"/>
      <w:bookmarkEnd w:id="14"/>
      <w:bookmarkEnd w:id="15"/>
      <w:bookmarkEnd w:id="16"/>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1</w:t>
      </w:r>
      <w:r>
        <w:rPr>
          <w:szCs w:val="21"/>
        </w:rPr>
        <w:t xml:space="preserve">  </w:t>
      </w:r>
      <w:r>
        <w:rPr>
          <w:rFonts w:hint="eastAsia"/>
          <w:szCs w:val="21"/>
        </w:rPr>
        <w:t>为响应国家出台的碳达峰、碳中和政策，支持交通可持续发展，提升道路工程品质，</w:t>
      </w:r>
      <w:bookmarkStart w:id="19" w:name="OLE_LINK134"/>
      <w:r>
        <w:rPr>
          <w:rFonts w:hint="eastAsia"/>
          <w:szCs w:val="21"/>
        </w:rPr>
        <w:t>引导道路工程在设计阶段考虑</w:t>
      </w:r>
      <w:bookmarkEnd w:id="19"/>
      <w:r>
        <w:rPr>
          <w:rFonts w:hint="eastAsia"/>
          <w:szCs w:val="21"/>
        </w:rPr>
        <w:t>其全寿命周期减碳，规范道路工程碳排放计算方法，增强企业对碳排放核算、报告、核查的意识，制订本标准。</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 xml:space="preserve">2  </w:t>
      </w:r>
      <w:r>
        <w:rPr>
          <w:rFonts w:hint="eastAsia"/>
          <w:szCs w:val="21"/>
        </w:rPr>
        <w:t>本标准适用于</w:t>
      </w:r>
      <w:bookmarkStart w:id="20" w:name="OLE_LINK143"/>
      <w:bookmarkStart w:id="21" w:name="OLE_LINK144"/>
      <w:bookmarkStart w:id="22" w:name="OLE_LINK104"/>
      <w:bookmarkStart w:id="23" w:name="OLE_LINK109"/>
      <w:r>
        <w:rPr>
          <w:rFonts w:hint="eastAsia"/>
          <w:szCs w:val="21"/>
        </w:rPr>
        <w:t>新建、改建、扩建、大修、运营维护、拆除、重建</w:t>
      </w:r>
      <w:bookmarkEnd w:id="20"/>
      <w:bookmarkEnd w:id="21"/>
      <w:r>
        <w:rPr>
          <w:rFonts w:hint="eastAsia"/>
          <w:szCs w:val="21"/>
        </w:rPr>
        <w:t>各等级道路工程的低碳设计</w:t>
      </w:r>
      <w:bookmarkEnd w:id="22"/>
      <w:bookmarkEnd w:id="23"/>
      <w:r>
        <w:rPr>
          <w:rFonts w:hint="eastAsia"/>
          <w:szCs w:val="21"/>
        </w:rPr>
        <w:t>、碳排放量计算及评价。</w:t>
      </w:r>
    </w:p>
    <w:p>
      <w:pPr>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b/>
          <w:bCs/>
          <w:szCs w:val="21"/>
        </w:rPr>
        <w:t>3</w:t>
      </w:r>
      <w:r>
        <w:rPr>
          <w:rFonts w:hint="eastAsia"/>
          <w:szCs w:val="21"/>
        </w:rPr>
        <w:t xml:space="preserve"> </w:t>
      </w:r>
      <w:r>
        <w:rPr>
          <w:szCs w:val="21"/>
        </w:rPr>
        <w:t xml:space="preserve"> </w:t>
      </w:r>
      <w:bookmarkStart w:id="24" w:name="OLE_LINK35"/>
      <w:bookmarkStart w:id="25" w:name="OLE_LINK40"/>
      <w:r>
        <w:rPr>
          <w:rFonts w:hint="eastAsia"/>
          <w:szCs w:val="21"/>
        </w:rPr>
        <w:t>本标准依据设计阶段的初步设计文件、施工图设计文件、造价文件等资料</w:t>
      </w:r>
      <w:bookmarkEnd w:id="24"/>
      <w:bookmarkEnd w:id="25"/>
      <w:r>
        <w:rPr>
          <w:rFonts w:hint="eastAsia"/>
          <w:szCs w:val="21"/>
        </w:rPr>
        <w:t>，采用全寿命周期方法，测算与道路工程有关的材料生产阶段、材料运输阶段、施工阶段、运营维护阶段、拆除阶段相关活动产生的碳排放。</w:t>
      </w:r>
    </w:p>
    <w:p>
      <w:pPr>
        <w:widowControl/>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rFonts w:hint="eastAsia"/>
          <w:b/>
          <w:bCs/>
          <w:szCs w:val="21"/>
        </w:rPr>
        <w:t>4</w:t>
      </w:r>
      <w:r>
        <w:rPr>
          <w:szCs w:val="21"/>
        </w:rPr>
        <w:t xml:space="preserve">  </w:t>
      </w:r>
      <w:bookmarkStart w:id="26" w:name="OLE_LINK10"/>
      <w:bookmarkStart w:id="27" w:name="OLE_LINK9"/>
      <w:r>
        <w:rPr>
          <w:rFonts w:hint="eastAsia"/>
          <w:szCs w:val="21"/>
        </w:rPr>
        <w:t>市政给水、排水、再生水、电力、通信、燃气、照明、监控、海绵城市、综合管廊、交通疏解等配套工程</w:t>
      </w:r>
      <w:bookmarkEnd w:id="26"/>
      <w:bookmarkEnd w:id="27"/>
      <w:r>
        <w:rPr>
          <w:rFonts w:hint="eastAsia"/>
          <w:szCs w:val="21"/>
        </w:rPr>
        <w:t>，可参照本标准执行。</w:t>
      </w:r>
    </w:p>
    <w:p>
      <w:pPr>
        <w:widowControl/>
        <w:spacing w:line="240" w:lineRule="auto"/>
        <w:rPr>
          <w:szCs w:val="21"/>
        </w:rPr>
      </w:pPr>
      <w:r>
        <w:rPr>
          <w:b/>
          <w:bCs/>
          <w:szCs w:val="21"/>
        </w:rPr>
        <w:t>1</w:t>
      </w:r>
      <w:r>
        <w:rPr>
          <w:rFonts w:ascii="宋体" w:hAnsi="宋体"/>
          <w:b/>
          <w:bCs/>
          <w:szCs w:val="21"/>
        </w:rPr>
        <w:t>.</w:t>
      </w:r>
      <w:r>
        <w:rPr>
          <w:b/>
          <w:bCs/>
          <w:szCs w:val="21"/>
        </w:rPr>
        <w:t>0</w:t>
      </w:r>
      <w:r>
        <w:rPr>
          <w:rFonts w:ascii="宋体" w:hAnsi="宋体"/>
          <w:b/>
          <w:bCs/>
          <w:szCs w:val="21"/>
        </w:rPr>
        <w:t>.</w:t>
      </w:r>
      <w:r>
        <w:rPr>
          <w:rFonts w:hint="eastAsia"/>
          <w:b/>
          <w:bCs/>
          <w:szCs w:val="21"/>
        </w:rPr>
        <w:t>5</w:t>
      </w:r>
      <w:r>
        <w:rPr>
          <w:szCs w:val="21"/>
        </w:rPr>
        <w:t xml:space="preserve">  </w:t>
      </w:r>
      <w:r>
        <w:rPr>
          <w:rFonts w:hint="eastAsia"/>
          <w:szCs w:val="21"/>
        </w:rPr>
        <w:t>道路工程碳排放计算除应符合本标准规定外，尚应符合国家、行业及地方现行有关规范、标准的规定。</w:t>
      </w:r>
    </w:p>
    <w:p>
      <w:pPr>
        <w:widowControl/>
        <w:spacing w:line="240" w:lineRule="auto"/>
        <w:jc w:val="left"/>
        <w:rPr>
          <w:rFonts w:ascii="等线" w:hAnsi="等线" w:cs="等线"/>
        </w:rPr>
      </w:pPr>
      <w:r>
        <w:rPr>
          <w:rFonts w:ascii="等线" w:hAnsi="等线" w:cs="等线"/>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28" w:name="_Toc82523962"/>
      <w:bookmarkStart w:id="29" w:name="_Toc93998963"/>
      <w:bookmarkStart w:id="30" w:name="_Toc93999724"/>
      <w:bookmarkStart w:id="31" w:name="_Toc161134656"/>
      <w:bookmarkStart w:id="32" w:name="_Toc160030712"/>
      <w:bookmarkStart w:id="33" w:name="_Toc160032799"/>
      <w:bookmarkStart w:id="34" w:name="_Toc160030974"/>
      <w:r>
        <w:rPr>
          <w:rStyle w:val="19"/>
          <w:rFonts w:ascii="Times New Roman" w:hAnsi="Times New Roman" w:cs="Times New Roman"/>
          <w:sz w:val="28"/>
          <w:szCs w:val="21"/>
        </w:rPr>
        <w:t>2</w:t>
      </w:r>
      <w:r>
        <w:rPr>
          <w:rStyle w:val="19"/>
          <w:rFonts w:hint="eastAsia" w:ascii="宋体" w:hAnsi="宋体"/>
          <w:sz w:val="28"/>
          <w:szCs w:val="21"/>
        </w:rPr>
        <w:t xml:space="preserve">  </w:t>
      </w:r>
      <w:r>
        <w:rPr>
          <w:rStyle w:val="19"/>
          <w:rFonts w:hint="eastAsia" w:ascii="宋体" w:hAnsi="宋体" w:eastAsia="宋体"/>
          <w:b w:val="0"/>
          <w:bCs w:val="0"/>
          <w:sz w:val="28"/>
          <w:szCs w:val="28"/>
        </w:rPr>
        <w:t>术语</w:t>
      </w:r>
      <w:bookmarkEnd w:id="28"/>
      <w:bookmarkEnd w:id="29"/>
      <w:bookmarkEnd w:id="30"/>
      <w:r>
        <w:rPr>
          <w:rStyle w:val="19"/>
          <w:rFonts w:hint="eastAsia" w:ascii="宋体" w:hAnsi="宋体" w:eastAsia="宋体"/>
          <w:b w:val="0"/>
          <w:bCs w:val="0"/>
          <w:sz w:val="28"/>
          <w:szCs w:val="28"/>
        </w:rPr>
        <w:t>和符号</w:t>
      </w:r>
      <w:bookmarkEnd w:id="31"/>
      <w:bookmarkEnd w:id="32"/>
      <w:bookmarkEnd w:id="33"/>
      <w:bookmarkEnd w:id="34"/>
    </w:p>
    <w:p>
      <w:pPr>
        <w:keepNext/>
        <w:keepLines/>
        <w:spacing w:before="240" w:after="240" w:line="240" w:lineRule="auto"/>
        <w:jc w:val="center"/>
        <w:outlineLvl w:val="0"/>
        <w:rPr>
          <w:rStyle w:val="19"/>
          <w:rFonts w:ascii="黑体" w:hAnsi="黑体" w:eastAsia="黑体"/>
          <w:b w:val="0"/>
          <w:bCs w:val="0"/>
          <w:sz w:val="21"/>
          <w:szCs w:val="21"/>
        </w:rPr>
      </w:pPr>
      <w:bookmarkStart w:id="35" w:name="_Toc160030975"/>
      <w:bookmarkStart w:id="36" w:name="_Toc161134657"/>
      <w:bookmarkStart w:id="37" w:name="_Toc160030713"/>
      <w:bookmarkStart w:id="38" w:name="_Toc160032800"/>
      <w:bookmarkStart w:id="39" w:name="_Toc160030976"/>
      <w:bookmarkStart w:id="40" w:name="_Toc160032801"/>
      <w:bookmarkStart w:id="41" w:name="_Toc161134658"/>
      <w:bookmarkStart w:id="42" w:name="_Toc160030714"/>
      <w:r>
        <w:rPr>
          <w:rStyle w:val="19"/>
          <w:rFonts w:ascii="Times New Roman" w:hAnsi="Times New Roman" w:eastAsia="黑体" w:cs="Times New Roman"/>
          <w:sz w:val="21"/>
          <w:szCs w:val="21"/>
        </w:rPr>
        <w:t>2</w:t>
      </w:r>
      <w:r>
        <w:rPr>
          <w:rFonts w:ascii="宋体" w:hAnsi="宋体"/>
          <w:b/>
          <w:bCs/>
          <w:szCs w:val="21"/>
        </w:rPr>
        <w:t>.</w:t>
      </w:r>
      <w:r>
        <w:rPr>
          <w:rStyle w:val="19"/>
          <w:rFonts w:ascii="Times New Roman" w:hAnsi="Times New Roman" w:eastAsia="黑体" w:cs="Times New Roman"/>
          <w:sz w:val="21"/>
          <w:szCs w:val="21"/>
        </w:rPr>
        <w:t>1</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 xml:space="preserve">术 </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语</w:t>
      </w:r>
      <w:bookmarkEnd w:id="35"/>
      <w:bookmarkEnd w:id="36"/>
      <w:bookmarkEnd w:id="37"/>
      <w:bookmarkEnd w:id="38"/>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w:t>
      </w:r>
      <w:r>
        <w:rPr>
          <w:rFonts w:hint="eastAsia" w:eastAsia="黑体" w:cs="黑体"/>
          <w:b/>
          <w:szCs w:val="21"/>
        </w:rPr>
        <w:t xml:space="preserve"> </w:t>
      </w:r>
      <w:r>
        <w:rPr>
          <w:rFonts w:eastAsia="黑体" w:cs="黑体"/>
          <w:b/>
          <w:szCs w:val="21"/>
        </w:rPr>
        <w:t xml:space="preserve"> </w:t>
      </w:r>
      <w:r>
        <w:rPr>
          <w:rFonts w:hint="eastAsia" w:cs="宋体"/>
          <w:szCs w:val="21"/>
        </w:rPr>
        <w:t>道路工程碳排放</w:t>
      </w:r>
      <w:r>
        <w:rPr>
          <w:rFonts w:hint="eastAsia" w:eastAsia="黑体" w:cs="黑体"/>
          <w:b/>
          <w:szCs w:val="21"/>
        </w:rPr>
        <w:t xml:space="preserve"> </w:t>
      </w:r>
      <w:r>
        <w:rPr>
          <w:rFonts w:eastAsia="黑体" w:cs="黑体"/>
          <w:b/>
          <w:szCs w:val="21"/>
        </w:rPr>
        <w:t xml:space="preserve"> </w:t>
      </w:r>
      <w:r>
        <w:rPr>
          <w:rFonts w:cs="宋体"/>
          <w:szCs w:val="21"/>
        </w:rPr>
        <w:t>carbon emission</w:t>
      </w:r>
      <w:r>
        <w:rPr>
          <w:rFonts w:hint="eastAsia" w:cs="宋体"/>
          <w:szCs w:val="21"/>
        </w:rPr>
        <w:t xml:space="preserve"> of road engineering</w:t>
      </w:r>
    </w:p>
    <w:p>
      <w:pPr>
        <w:spacing w:line="240" w:lineRule="auto"/>
        <w:ind w:firstLine="420" w:firstLineChars="200"/>
        <w:rPr>
          <w:rFonts w:cs="宋体"/>
          <w:szCs w:val="21"/>
        </w:rPr>
      </w:pPr>
      <w:r>
        <w:rPr>
          <w:rFonts w:hint="eastAsia" w:cs="宋体"/>
          <w:szCs w:val="21"/>
        </w:rPr>
        <w:t>道路工程作为最终产品，在其全寿命周期内所消耗各种资源、能源向外界环境排放的温室气体总量，包括与道路工程有关的材料生产、材料运输、施工、运营维护、拆除等阶段</w:t>
      </w:r>
      <w:bookmarkStart w:id="43" w:name="OLE_LINK136"/>
      <w:bookmarkStart w:id="44" w:name="OLE_LINK135"/>
      <w:r>
        <w:rPr>
          <w:rFonts w:hint="eastAsia" w:cs="宋体"/>
          <w:szCs w:val="21"/>
        </w:rPr>
        <w:t>相关活动</w:t>
      </w:r>
      <w:bookmarkEnd w:id="43"/>
      <w:bookmarkEnd w:id="44"/>
      <w:r>
        <w:rPr>
          <w:rFonts w:hint="eastAsia" w:cs="宋体"/>
          <w:szCs w:val="21"/>
        </w:rPr>
        <w:t>产生的以二氧化碳当量表示的排放总量。</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2</w:t>
      </w:r>
      <w:r>
        <w:rPr>
          <w:rFonts w:hint="eastAsia" w:eastAsia="黑体" w:cs="黑体"/>
          <w:b/>
          <w:szCs w:val="21"/>
        </w:rPr>
        <w:t xml:space="preserve"> </w:t>
      </w:r>
      <w:r>
        <w:rPr>
          <w:rFonts w:eastAsia="黑体" w:cs="黑体"/>
          <w:b/>
          <w:szCs w:val="21"/>
        </w:rPr>
        <w:t xml:space="preserve"> </w:t>
      </w:r>
      <w:bookmarkStart w:id="45" w:name="OLE_LINK262"/>
      <w:bookmarkStart w:id="46" w:name="OLE_LINK261"/>
      <w:r>
        <w:rPr>
          <w:rFonts w:hint="eastAsia" w:cs="宋体"/>
          <w:szCs w:val="21"/>
        </w:rPr>
        <w:t>直接碳排放</w:t>
      </w:r>
      <w:bookmarkEnd w:id="45"/>
      <w:bookmarkEnd w:id="46"/>
      <w:r>
        <w:rPr>
          <w:rFonts w:hint="eastAsia" w:eastAsia="黑体" w:cs="黑体"/>
          <w:b/>
          <w:szCs w:val="21"/>
        </w:rPr>
        <w:t xml:space="preserve"> </w:t>
      </w:r>
      <w:r>
        <w:rPr>
          <w:rFonts w:eastAsia="黑体" w:cs="黑体"/>
          <w:b/>
          <w:szCs w:val="21"/>
        </w:rPr>
        <w:t xml:space="preserve"> </w:t>
      </w:r>
      <w:r>
        <w:rPr>
          <w:rFonts w:hint="eastAsia" w:cs="宋体"/>
          <w:szCs w:val="21"/>
        </w:rPr>
        <w:t>direct</w:t>
      </w:r>
      <w:r>
        <w:rPr>
          <w:rFonts w:cs="宋体"/>
          <w:szCs w:val="21"/>
        </w:rPr>
        <w:t xml:space="preserve"> carbon emission</w:t>
      </w:r>
    </w:p>
    <w:p>
      <w:pPr>
        <w:spacing w:line="240" w:lineRule="auto"/>
        <w:ind w:firstLine="420" w:firstLineChars="200"/>
        <w:rPr>
          <w:rFonts w:cs="宋体"/>
          <w:szCs w:val="21"/>
        </w:rPr>
      </w:pPr>
      <w:r>
        <w:rPr>
          <w:rFonts w:hint="eastAsia" w:cs="宋体"/>
          <w:szCs w:val="21"/>
        </w:rPr>
        <w:t>以道路工程项目为单位，企业或组织拥有或控制的温室气体排放源所产生的碳排放。</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3</w:t>
      </w:r>
      <w:r>
        <w:rPr>
          <w:rFonts w:hint="eastAsia" w:eastAsia="黑体" w:cs="黑体"/>
          <w:b/>
          <w:szCs w:val="21"/>
        </w:rPr>
        <w:t xml:space="preserve"> </w:t>
      </w:r>
      <w:r>
        <w:rPr>
          <w:rFonts w:eastAsia="黑体" w:cs="黑体"/>
          <w:b/>
          <w:szCs w:val="21"/>
        </w:rPr>
        <w:t xml:space="preserve"> </w:t>
      </w:r>
      <w:r>
        <w:rPr>
          <w:rFonts w:hint="eastAsia" w:cs="宋体"/>
          <w:szCs w:val="21"/>
        </w:rPr>
        <w:t>间接碳排放</w:t>
      </w:r>
      <w:r>
        <w:rPr>
          <w:rFonts w:hint="eastAsia" w:eastAsia="黑体" w:cs="黑体"/>
          <w:b/>
          <w:szCs w:val="21"/>
        </w:rPr>
        <w:t xml:space="preserve"> </w:t>
      </w:r>
      <w:r>
        <w:rPr>
          <w:rFonts w:eastAsia="黑体" w:cs="黑体"/>
          <w:b/>
          <w:szCs w:val="21"/>
        </w:rPr>
        <w:t xml:space="preserve"> </w:t>
      </w:r>
      <w:r>
        <w:rPr>
          <w:rFonts w:hint="eastAsia" w:cs="宋体"/>
          <w:szCs w:val="21"/>
        </w:rPr>
        <w:t>indirect</w:t>
      </w:r>
      <w:r>
        <w:rPr>
          <w:rFonts w:cs="宋体"/>
          <w:szCs w:val="21"/>
        </w:rPr>
        <w:t xml:space="preserve"> carbon emission</w:t>
      </w:r>
    </w:p>
    <w:p>
      <w:pPr>
        <w:spacing w:line="240" w:lineRule="auto"/>
        <w:ind w:firstLine="420" w:firstLineChars="200"/>
        <w:rPr>
          <w:rFonts w:cs="宋体"/>
          <w:szCs w:val="21"/>
        </w:rPr>
      </w:pPr>
      <w:r>
        <w:rPr>
          <w:rFonts w:hint="eastAsia" w:cs="宋体"/>
          <w:szCs w:val="21"/>
        </w:rPr>
        <w:t>以道路工程项目为单位，企业或组织不能直接拥有或直接控制排放源，消耗的外购资源和能源包括材料及能源生产、电力生产、水资源、废弃物处置等所产生的碳排放，</w:t>
      </w:r>
      <w:bookmarkStart w:id="47" w:name="OLE_LINK44"/>
      <w:bookmarkStart w:id="48" w:name="OLE_LINK43"/>
      <w:r>
        <w:rPr>
          <w:rFonts w:hint="eastAsia" w:cs="宋体"/>
          <w:szCs w:val="21"/>
        </w:rPr>
        <w:t>不考虑人员通勤、办公与生活消耗产生的碳排放。</w:t>
      </w:r>
    </w:p>
    <w:bookmarkEnd w:id="47"/>
    <w:bookmarkEnd w:id="48"/>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4</w:t>
      </w:r>
      <w:r>
        <w:rPr>
          <w:rFonts w:hint="eastAsia" w:eastAsia="黑体" w:cs="黑体"/>
          <w:b/>
          <w:szCs w:val="21"/>
        </w:rPr>
        <w:t xml:space="preserve"> </w:t>
      </w:r>
      <w:r>
        <w:rPr>
          <w:rFonts w:eastAsia="黑体" w:cs="黑体"/>
          <w:b/>
          <w:szCs w:val="21"/>
        </w:rPr>
        <w:t xml:space="preserve"> </w:t>
      </w:r>
      <w:r>
        <w:rPr>
          <w:rFonts w:hint="eastAsia" w:cs="宋体"/>
          <w:szCs w:val="21"/>
        </w:rPr>
        <w:t>碳排放因子</w:t>
      </w:r>
      <w:r>
        <w:rPr>
          <w:rFonts w:hint="eastAsia" w:eastAsia="黑体" w:cs="黑体"/>
          <w:b/>
          <w:szCs w:val="21"/>
        </w:rPr>
        <w:t xml:space="preserve"> </w:t>
      </w:r>
      <w:r>
        <w:rPr>
          <w:rFonts w:eastAsia="黑体" w:cs="黑体"/>
          <w:b/>
          <w:szCs w:val="21"/>
        </w:rPr>
        <w:t xml:space="preserve"> </w:t>
      </w:r>
      <w:r>
        <w:rPr>
          <w:rFonts w:cs="宋体"/>
          <w:szCs w:val="21"/>
        </w:rPr>
        <w:t>carbon emission</w:t>
      </w:r>
      <w:r>
        <w:rPr>
          <w:rFonts w:hint="eastAsia" w:cs="宋体"/>
          <w:szCs w:val="21"/>
        </w:rPr>
        <w:t xml:space="preserve"> factor</w:t>
      </w:r>
    </w:p>
    <w:p>
      <w:pPr>
        <w:spacing w:line="240" w:lineRule="auto"/>
        <w:ind w:firstLine="420" w:firstLineChars="200"/>
        <w:rPr>
          <w:rFonts w:cs="宋体"/>
          <w:szCs w:val="21"/>
        </w:rPr>
      </w:pPr>
      <w:bookmarkStart w:id="49" w:name="OLE_LINK8"/>
      <w:bookmarkStart w:id="50" w:name="OLE_LINK1"/>
      <w:r>
        <w:rPr>
          <w:rFonts w:hint="eastAsia" w:cs="宋体"/>
          <w:szCs w:val="21"/>
        </w:rPr>
        <w:t>将能源和材料消耗量</w:t>
      </w:r>
      <w:bookmarkEnd w:id="49"/>
      <w:bookmarkEnd w:id="50"/>
      <w:r>
        <w:rPr>
          <w:rFonts w:hint="eastAsia" w:cs="宋体"/>
          <w:szCs w:val="21"/>
        </w:rPr>
        <w:t>与二氧化碳排放相对应的系数，用于量化道路工程在与其有关的材料生产、材料运输、施工、运营维护、拆除等阶段相关活动的碳排放。</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5</w:t>
      </w:r>
      <w:r>
        <w:rPr>
          <w:rFonts w:hint="eastAsia" w:eastAsia="黑体" w:cs="黑体"/>
          <w:b/>
          <w:szCs w:val="21"/>
        </w:rPr>
        <w:t xml:space="preserve"> </w:t>
      </w:r>
      <w:r>
        <w:rPr>
          <w:rFonts w:eastAsia="黑体" w:cs="黑体"/>
          <w:b/>
          <w:szCs w:val="21"/>
        </w:rPr>
        <w:t xml:space="preserve"> </w:t>
      </w:r>
      <w:r>
        <w:rPr>
          <w:rFonts w:hint="eastAsia" w:cs="宋体"/>
          <w:szCs w:val="21"/>
        </w:rPr>
        <w:t>计算边界</w:t>
      </w:r>
      <w:r>
        <w:rPr>
          <w:rFonts w:hint="eastAsia" w:eastAsia="黑体" w:cs="黑体"/>
          <w:b/>
          <w:szCs w:val="21"/>
        </w:rPr>
        <w:t xml:space="preserve"> </w:t>
      </w:r>
      <w:r>
        <w:rPr>
          <w:rFonts w:eastAsia="黑体" w:cs="黑体"/>
          <w:b/>
          <w:szCs w:val="21"/>
        </w:rPr>
        <w:t xml:space="preserve"> </w:t>
      </w:r>
      <w:bookmarkStart w:id="51" w:name="OLE_LINK20"/>
      <w:bookmarkStart w:id="52" w:name="OLE_LINK41"/>
      <w:r>
        <w:rPr>
          <w:rFonts w:hint="eastAsia" w:cs="宋体"/>
          <w:szCs w:val="21"/>
        </w:rPr>
        <w:t>accounting</w:t>
      </w:r>
      <w:bookmarkEnd w:id="51"/>
      <w:bookmarkEnd w:id="52"/>
      <w:r>
        <w:rPr>
          <w:rFonts w:hint="eastAsia" w:cs="宋体"/>
          <w:szCs w:val="21"/>
        </w:rPr>
        <w:t xml:space="preserve"> boundary</w:t>
      </w:r>
    </w:p>
    <w:p>
      <w:pPr>
        <w:spacing w:line="240" w:lineRule="auto"/>
        <w:ind w:firstLine="420" w:firstLineChars="200"/>
        <w:rPr>
          <w:rFonts w:cs="宋体"/>
          <w:szCs w:val="21"/>
        </w:rPr>
      </w:pPr>
      <w:r>
        <w:rPr>
          <w:rFonts w:hint="eastAsia" w:cs="宋体"/>
          <w:szCs w:val="21"/>
        </w:rPr>
        <w:t>从全寿命周期全过程出发，道路工程在与其有关的材料生产、材料运输、施工、运营维护、拆除等相关活动的温室气体排放的计算范围。</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6</w:t>
      </w:r>
      <w:r>
        <w:rPr>
          <w:rFonts w:hint="eastAsia" w:eastAsia="黑体" w:cs="黑体"/>
          <w:b/>
          <w:szCs w:val="21"/>
        </w:rPr>
        <w:t xml:space="preserve"> </w:t>
      </w:r>
      <w:r>
        <w:rPr>
          <w:rFonts w:eastAsia="黑体" w:cs="黑体"/>
          <w:b/>
          <w:szCs w:val="21"/>
        </w:rPr>
        <w:t xml:space="preserve"> </w:t>
      </w:r>
      <w:r>
        <w:rPr>
          <w:rFonts w:hint="eastAsia" w:cs="宋体"/>
          <w:szCs w:val="21"/>
        </w:rPr>
        <w:t>排除门槛</w:t>
      </w:r>
      <w:r>
        <w:rPr>
          <w:rFonts w:hint="eastAsia" w:eastAsia="黑体" w:cs="黑体"/>
          <w:b/>
          <w:szCs w:val="21"/>
        </w:rPr>
        <w:t xml:space="preserve"> </w:t>
      </w:r>
      <w:r>
        <w:rPr>
          <w:rFonts w:eastAsia="黑体" w:cs="黑体"/>
          <w:b/>
          <w:szCs w:val="21"/>
        </w:rPr>
        <w:t xml:space="preserve"> </w:t>
      </w:r>
      <w:r>
        <w:rPr>
          <w:rFonts w:hint="eastAsia" w:cs="宋体"/>
          <w:szCs w:val="21"/>
        </w:rPr>
        <w:t>exclusion threshold</w:t>
      </w:r>
    </w:p>
    <w:p>
      <w:pPr>
        <w:spacing w:line="240" w:lineRule="auto"/>
        <w:ind w:firstLine="420" w:firstLineChars="200"/>
        <w:rPr>
          <w:rFonts w:cs="宋体"/>
          <w:szCs w:val="21"/>
        </w:rPr>
      </w:pPr>
      <w:r>
        <w:rPr>
          <w:rFonts w:hint="eastAsia" w:cs="宋体"/>
          <w:szCs w:val="21"/>
        </w:rPr>
        <w:t>用于界定不予量化的温室气体排放的定性或定量的要求。</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7</w:t>
      </w:r>
      <w:r>
        <w:rPr>
          <w:rFonts w:hint="eastAsia" w:eastAsia="黑体" w:cs="黑体"/>
          <w:b/>
          <w:szCs w:val="21"/>
        </w:rPr>
        <w:t xml:space="preserve"> </w:t>
      </w:r>
      <w:r>
        <w:rPr>
          <w:rFonts w:eastAsia="黑体" w:cs="黑体"/>
          <w:b/>
          <w:szCs w:val="21"/>
        </w:rPr>
        <w:t xml:space="preserve"> </w:t>
      </w:r>
      <w:r>
        <w:rPr>
          <w:rFonts w:hint="eastAsia" w:cs="宋体"/>
          <w:szCs w:val="21"/>
        </w:rPr>
        <w:t>碳汇</w:t>
      </w:r>
      <w:r>
        <w:rPr>
          <w:rFonts w:hint="eastAsia" w:eastAsia="黑体" w:cs="黑体"/>
          <w:b/>
          <w:szCs w:val="21"/>
        </w:rPr>
        <w:t xml:space="preserve"> </w:t>
      </w:r>
      <w:r>
        <w:rPr>
          <w:rFonts w:eastAsia="黑体" w:cs="黑体"/>
          <w:b/>
          <w:szCs w:val="21"/>
        </w:rPr>
        <w:t xml:space="preserve"> </w:t>
      </w:r>
      <w:r>
        <w:rPr>
          <w:rFonts w:cs="宋体"/>
          <w:szCs w:val="21"/>
        </w:rPr>
        <w:t xml:space="preserve">carbon </w:t>
      </w:r>
      <w:r>
        <w:rPr>
          <w:rFonts w:hint="eastAsia" w:cs="宋体"/>
          <w:szCs w:val="21"/>
        </w:rPr>
        <w:t>sink</w:t>
      </w:r>
    </w:p>
    <w:p>
      <w:pPr>
        <w:spacing w:line="240" w:lineRule="auto"/>
        <w:ind w:firstLine="420" w:firstLineChars="200"/>
        <w:rPr>
          <w:rFonts w:cs="宋体"/>
          <w:szCs w:val="21"/>
        </w:rPr>
      </w:pPr>
      <w:r>
        <w:rPr>
          <w:rFonts w:hint="eastAsia" w:cs="宋体"/>
          <w:szCs w:val="21"/>
        </w:rPr>
        <w:t>在划定的道路工程项目范围内，绿化植被从空气中吸收并存储的二氧化碳量。</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8</w:t>
      </w:r>
      <w:r>
        <w:rPr>
          <w:rFonts w:hint="eastAsia" w:eastAsia="黑体" w:cs="黑体"/>
          <w:b/>
          <w:szCs w:val="21"/>
        </w:rPr>
        <w:t xml:space="preserve"> </w:t>
      </w:r>
      <w:r>
        <w:rPr>
          <w:rFonts w:eastAsia="黑体" w:cs="黑体"/>
          <w:b/>
          <w:szCs w:val="21"/>
        </w:rPr>
        <w:t xml:space="preserve"> </w:t>
      </w:r>
      <w:r>
        <w:rPr>
          <w:rFonts w:hint="eastAsia" w:cs="宋体"/>
          <w:szCs w:val="21"/>
        </w:rPr>
        <w:t>活动水平数据  activity data</w:t>
      </w:r>
    </w:p>
    <w:p>
      <w:pPr>
        <w:spacing w:line="240" w:lineRule="auto"/>
        <w:ind w:firstLine="420" w:firstLineChars="200"/>
        <w:rPr>
          <w:rFonts w:cs="宋体"/>
          <w:szCs w:val="21"/>
        </w:rPr>
      </w:pPr>
      <w:r>
        <w:rPr>
          <w:rFonts w:hint="eastAsia" w:cs="宋体"/>
          <w:szCs w:val="21"/>
        </w:rPr>
        <w:t>导致温室气体排放或清除的道路工程在与其有关的材料生产、材料运输、施工、运营维护、拆除等相关活动量的表征值。</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9</w:t>
      </w:r>
      <w:r>
        <w:rPr>
          <w:rFonts w:hint="eastAsia" w:eastAsia="黑体" w:cs="黑体"/>
          <w:b/>
          <w:szCs w:val="21"/>
        </w:rPr>
        <w:t xml:space="preserve"> </w:t>
      </w:r>
      <w:r>
        <w:rPr>
          <w:rFonts w:eastAsia="黑体" w:cs="黑体"/>
          <w:b/>
          <w:szCs w:val="21"/>
        </w:rPr>
        <w:t xml:space="preserve"> </w:t>
      </w:r>
      <w:r>
        <w:rPr>
          <w:rFonts w:hint="eastAsia" w:cs="宋体"/>
          <w:szCs w:val="21"/>
        </w:rPr>
        <w:t>绿色建材</w:t>
      </w:r>
      <w:r>
        <w:rPr>
          <w:rFonts w:hint="eastAsia" w:eastAsia="黑体" w:cs="黑体"/>
          <w:b/>
          <w:szCs w:val="21"/>
        </w:rPr>
        <w:t xml:space="preserve"> </w:t>
      </w:r>
      <w:r>
        <w:rPr>
          <w:rFonts w:eastAsia="黑体" w:cs="黑体"/>
          <w:b/>
          <w:szCs w:val="21"/>
        </w:rPr>
        <w:t xml:space="preserve"> </w:t>
      </w:r>
      <w:r>
        <w:rPr>
          <w:rFonts w:cs="宋体"/>
          <w:szCs w:val="21"/>
        </w:rPr>
        <w:t>green building material</w:t>
      </w:r>
    </w:p>
    <w:p>
      <w:pPr>
        <w:spacing w:line="240" w:lineRule="auto"/>
        <w:ind w:firstLine="420" w:firstLineChars="200"/>
        <w:rPr>
          <w:rFonts w:cs="宋体"/>
          <w:szCs w:val="21"/>
        </w:rPr>
      </w:pPr>
      <w:r>
        <w:rPr>
          <w:rFonts w:hint="eastAsia" w:cs="宋体"/>
          <w:szCs w:val="21"/>
        </w:rPr>
        <w:t>在全寿命周期内可减少对资源的消耗、减轻对生态环境的影响，具有节能、减排、安全、健康、便利和可循环特征的建材产品。</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10</w:t>
      </w:r>
      <w:r>
        <w:rPr>
          <w:rFonts w:hint="eastAsia" w:eastAsia="黑体" w:cs="黑体"/>
          <w:b/>
          <w:szCs w:val="21"/>
        </w:rPr>
        <w:t xml:space="preserve"> </w:t>
      </w:r>
      <w:r>
        <w:rPr>
          <w:rFonts w:eastAsia="黑体" w:cs="黑体"/>
          <w:b/>
          <w:szCs w:val="21"/>
        </w:rPr>
        <w:t xml:space="preserve"> </w:t>
      </w:r>
      <w:r>
        <w:rPr>
          <w:rFonts w:hint="eastAsia" w:cs="宋体"/>
          <w:szCs w:val="21"/>
        </w:rPr>
        <w:t>建筑废弃物</w:t>
      </w:r>
      <w:r>
        <w:rPr>
          <w:rFonts w:hint="eastAsia" w:eastAsia="黑体" w:cs="黑体"/>
          <w:b/>
          <w:szCs w:val="21"/>
        </w:rPr>
        <w:t xml:space="preserve"> </w:t>
      </w:r>
      <w:r>
        <w:rPr>
          <w:rFonts w:eastAsia="黑体" w:cs="黑体"/>
          <w:b/>
          <w:szCs w:val="21"/>
        </w:rPr>
        <w:t xml:space="preserve"> </w:t>
      </w:r>
      <w:r>
        <w:rPr>
          <w:rFonts w:cs="宋体"/>
          <w:szCs w:val="21"/>
        </w:rPr>
        <w:t xml:space="preserve">construction </w:t>
      </w:r>
      <w:r>
        <w:rPr>
          <w:rFonts w:hint="eastAsia" w:cs="宋体"/>
          <w:szCs w:val="21"/>
        </w:rPr>
        <w:t xml:space="preserve">and </w:t>
      </w:r>
      <w:r>
        <w:rPr>
          <w:rFonts w:cs="宋体"/>
          <w:szCs w:val="21"/>
        </w:rPr>
        <w:t xml:space="preserve">demolition </w:t>
      </w:r>
      <w:r>
        <w:rPr>
          <w:rFonts w:hint="eastAsia" w:cs="宋体"/>
          <w:szCs w:val="21"/>
        </w:rPr>
        <w:t>waste</w:t>
      </w:r>
    </w:p>
    <w:p>
      <w:pPr>
        <w:spacing w:line="240" w:lineRule="auto"/>
        <w:ind w:firstLine="420" w:firstLineChars="200"/>
        <w:rPr>
          <w:rFonts w:cs="宋体"/>
          <w:szCs w:val="21"/>
        </w:rPr>
      </w:pPr>
      <w:r>
        <w:rPr>
          <w:rFonts w:hint="eastAsia" w:cs="宋体"/>
          <w:szCs w:val="21"/>
        </w:rPr>
        <w:t>新建、改建、扩建和拆除各类建（构）筑物、市政管线、交通设施以及装修房屋等工程施工活动中产生的各类废弃物，包括工程渣土、拆除废弃物、工程泥浆、施工废弃物和装修废弃物等。</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11</w:t>
      </w:r>
      <w:r>
        <w:rPr>
          <w:rFonts w:hint="eastAsia" w:eastAsia="黑体" w:cs="黑体"/>
          <w:b/>
          <w:szCs w:val="21"/>
        </w:rPr>
        <w:t xml:space="preserve"> </w:t>
      </w:r>
      <w:r>
        <w:rPr>
          <w:rFonts w:eastAsia="黑体" w:cs="黑体"/>
          <w:b/>
          <w:szCs w:val="21"/>
        </w:rPr>
        <w:t xml:space="preserve"> </w:t>
      </w:r>
      <w:r>
        <w:rPr>
          <w:rFonts w:hint="eastAsia" w:cs="宋体"/>
          <w:szCs w:val="21"/>
        </w:rPr>
        <w:t>建筑垃圾</w:t>
      </w:r>
      <w:r>
        <w:rPr>
          <w:rFonts w:hint="eastAsia" w:eastAsia="黑体" w:cs="黑体"/>
          <w:b/>
          <w:szCs w:val="21"/>
        </w:rPr>
        <w:t xml:space="preserve"> </w:t>
      </w:r>
      <w:r>
        <w:rPr>
          <w:rFonts w:eastAsia="黑体" w:cs="黑体"/>
          <w:b/>
          <w:szCs w:val="21"/>
        </w:rPr>
        <w:t xml:space="preserve"> </w:t>
      </w:r>
      <w:r>
        <w:rPr>
          <w:rFonts w:hint="eastAsia" w:cs="宋体"/>
          <w:szCs w:val="21"/>
        </w:rPr>
        <w:t>construction trash</w:t>
      </w:r>
    </w:p>
    <w:p>
      <w:pPr>
        <w:spacing w:line="240" w:lineRule="auto"/>
        <w:ind w:firstLine="420" w:firstLineChars="200"/>
        <w:rPr>
          <w:rFonts w:cs="宋体"/>
          <w:szCs w:val="21"/>
        </w:rPr>
      </w:pPr>
      <w:r>
        <w:rPr>
          <w:rFonts w:hint="eastAsia" w:cs="宋体"/>
          <w:szCs w:val="21"/>
        </w:rPr>
        <w:t>建筑工程与道路、桥梁和隧道等市政工程施工、拆除过程中产生的废物料。</w:t>
      </w:r>
    </w:p>
    <w:p>
      <w:pPr>
        <w:keepNext/>
        <w:spacing w:line="240" w:lineRule="auto"/>
        <w:rPr>
          <w:rFonts w:eastAsia="黑体" w:cs="黑体"/>
          <w:b/>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12</w:t>
      </w:r>
      <w:r>
        <w:rPr>
          <w:rFonts w:hint="eastAsia" w:eastAsia="黑体" w:cs="黑体"/>
          <w:b/>
          <w:szCs w:val="21"/>
        </w:rPr>
        <w:t xml:space="preserve"> </w:t>
      </w:r>
      <w:r>
        <w:rPr>
          <w:rFonts w:eastAsia="黑体" w:cs="黑体"/>
          <w:b/>
          <w:szCs w:val="21"/>
        </w:rPr>
        <w:t xml:space="preserve"> </w:t>
      </w:r>
      <w:r>
        <w:rPr>
          <w:rFonts w:hint="eastAsia" w:cs="宋体"/>
          <w:szCs w:val="21"/>
        </w:rPr>
        <w:t>可再生能源</w:t>
      </w:r>
      <w:r>
        <w:rPr>
          <w:rFonts w:hint="eastAsia" w:eastAsia="黑体" w:cs="黑体"/>
          <w:b/>
          <w:szCs w:val="21"/>
        </w:rPr>
        <w:t xml:space="preserve"> </w:t>
      </w:r>
      <w:r>
        <w:rPr>
          <w:rFonts w:eastAsia="黑体" w:cs="黑体"/>
          <w:b/>
          <w:szCs w:val="21"/>
        </w:rPr>
        <w:t xml:space="preserve"> </w:t>
      </w:r>
      <w:r>
        <w:rPr>
          <w:rFonts w:hint="eastAsia" w:cs="宋体"/>
          <w:szCs w:val="21"/>
        </w:rPr>
        <w:t>renewable energy</w:t>
      </w:r>
    </w:p>
    <w:p>
      <w:pPr>
        <w:spacing w:line="240" w:lineRule="auto"/>
        <w:ind w:firstLine="420" w:firstLineChars="200"/>
        <w:rPr>
          <w:rFonts w:cs="宋体"/>
          <w:szCs w:val="21"/>
        </w:rPr>
      </w:pPr>
      <w:r>
        <w:rPr>
          <w:rFonts w:hint="eastAsia" w:cs="宋体"/>
          <w:szCs w:val="21"/>
        </w:rPr>
        <w:t>在自然界中可以不断利用、循环再生，对环境无害或危害极小，而且资源分布广泛，适宜就地开发利用的能源，包括太阳能、风能、地热能等。</w:t>
      </w:r>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1</w:t>
      </w:r>
      <w:r>
        <w:rPr>
          <w:rFonts w:hint="eastAsia" w:ascii="宋体" w:hAnsi="宋体"/>
          <w:b/>
          <w:bCs/>
          <w:szCs w:val="21"/>
        </w:rPr>
        <w:t>.</w:t>
      </w:r>
      <w:r>
        <w:rPr>
          <w:rFonts w:hint="eastAsia" w:eastAsia="黑体"/>
          <w:b/>
          <w:bCs/>
          <w:szCs w:val="21"/>
        </w:rPr>
        <w:t>13</w:t>
      </w:r>
      <w:r>
        <w:rPr>
          <w:rFonts w:hint="eastAsia" w:eastAsia="黑体" w:cs="黑体"/>
          <w:b/>
          <w:szCs w:val="21"/>
        </w:rPr>
        <w:t xml:space="preserve"> </w:t>
      </w:r>
      <w:r>
        <w:rPr>
          <w:rFonts w:eastAsia="黑体" w:cs="黑体"/>
          <w:b/>
          <w:szCs w:val="21"/>
        </w:rPr>
        <w:t xml:space="preserve"> </w:t>
      </w:r>
      <w:r>
        <w:rPr>
          <w:rFonts w:hint="eastAsia" w:cs="宋体"/>
          <w:szCs w:val="21"/>
        </w:rPr>
        <w:t>资源化利用</w:t>
      </w:r>
      <w:r>
        <w:rPr>
          <w:rFonts w:hint="eastAsia" w:eastAsia="黑体" w:cs="黑体"/>
          <w:b/>
          <w:szCs w:val="21"/>
        </w:rPr>
        <w:t xml:space="preserve"> </w:t>
      </w:r>
      <w:r>
        <w:rPr>
          <w:rFonts w:eastAsia="黑体" w:cs="黑体"/>
          <w:b/>
          <w:szCs w:val="21"/>
        </w:rPr>
        <w:t xml:space="preserve"> </w:t>
      </w:r>
      <w:r>
        <w:rPr>
          <w:rFonts w:hint="eastAsia" w:cs="宋体"/>
          <w:szCs w:val="21"/>
        </w:rPr>
        <w:t>resource reuse and recycling</w:t>
      </w:r>
    </w:p>
    <w:p>
      <w:pPr>
        <w:spacing w:line="240" w:lineRule="auto"/>
        <w:ind w:firstLine="420" w:firstLineChars="200"/>
        <w:rPr>
          <w:rFonts w:cs="宋体"/>
          <w:szCs w:val="21"/>
        </w:rPr>
      </w:pPr>
      <w:r>
        <w:rPr>
          <w:rFonts w:hint="eastAsia" w:cs="宋体"/>
          <w:szCs w:val="21"/>
        </w:rPr>
        <w:t>建筑垃圾经处理转化成为有用物质的方法。</w:t>
      </w:r>
    </w:p>
    <w:p>
      <w:pPr>
        <w:keepNext/>
        <w:keepLines/>
        <w:spacing w:before="240" w:after="240" w:line="240" w:lineRule="auto"/>
        <w:jc w:val="center"/>
        <w:outlineLvl w:val="0"/>
        <w:rPr>
          <w:rStyle w:val="19"/>
          <w:rFonts w:ascii="黑体" w:hAnsi="黑体" w:eastAsia="黑体"/>
          <w:b w:val="0"/>
          <w:bCs w:val="0"/>
          <w:sz w:val="21"/>
          <w:szCs w:val="21"/>
        </w:rPr>
      </w:pPr>
      <w:r>
        <w:rPr>
          <w:rStyle w:val="19"/>
          <w:rFonts w:ascii="Times New Roman" w:hAnsi="Times New Roman" w:eastAsia="黑体" w:cs="Times New Roman"/>
          <w:sz w:val="21"/>
          <w:szCs w:val="21"/>
        </w:rPr>
        <w:t>2</w:t>
      </w:r>
      <w:r>
        <w:rPr>
          <w:rFonts w:ascii="宋体" w:hAnsi="宋体"/>
          <w:b/>
          <w:bCs/>
          <w:szCs w:val="21"/>
        </w:rPr>
        <w:t>.</w:t>
      </w:r>
      <w:r>
        <w:rPr>
          <w:rStyle w:val="19"/>
          <w:rFonts w:ascii="Times New Roman" w:hAnsi="Times New Roman" w:eastAsia="黑体" w:cs="Times New Roman"/>
          <w:sz w:val="21"/>
          <w:szCs w:val="21"/>
        </w:rPr>
        <w:t>2</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 xml:space="preserve">符 </w:t>
      </w:r>
      <w:r>
        <w:rPr>
          <w:rStyle w:val="19"/>
          <w:rFonts w:ascii="黑体" w:hAnsi="黑体" w:eastAsia="黑体"/>
          <w:b w:val="0"/>
          <w:bCs w:val="0"/>
          <w:sz w:val="21"/>
          <w:szCs w:val="21"/>
        </w:rPr>
        <w:t xml:space="preserve">   </w:t>
      </w:r>
      <w:r>
        <w:rPr>
          <w:rStyle w:val="19"/>
          <w:rFonts w:hint="eastAsia" w:ascii="黑体" w:hAnsi="黑体" w:eastAsia="黑体"/>
          <w:b w:val="0"/>
          <w:bCs w:val="0"/>
          <w:sz w:val="21"/>
          <w:szCs w:val="21"/>
        </w:rPr>
        <w:t>号</w:t>
      </w:r>
      <w:bookmarkEnd w:id="39"/>
      <w:bookmarkEnd w:id="40"/>
      <w:bookmarkEnd w:id="41"/>
      <w:bookmarkEnd w:id="42"/>
    </w:p>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1</w:t>
      </w:r>
      <w:r>
        <w:rPr>
          <w:rFonts w:hint="eastAsia" w:eastAsia="黑体" w:cs="黑体"/>
          <w:b/>
          <w:szCs w:val="21"/>
        </w:rPr>
        <w:t xml:space="preserve"> </w:t>
      </w:r>
      <w:r>
        <w:rPr>
          <w:rFonts w:eastAsia="黑体" w:cs="黑体"/>
          <w:b/>
          <w:szCs w:val="21"/>
        </w:rPr>
        <w:t xml:space="preserve"> </w:t>
      </w:r>
      <w:r>
        <w:rPr>
          <w:rFonts w:hint="eastAsia" w:cs="宋体"/>
          <w:szCs w:val="21"/>
        </w:rPr>
        <w:t>碳排放量和碳汇量</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684"/>
        <w:gridCol w:w="8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ascii="Cambria Math" w:hAnsi="Cambria Math" w:eastAsia="黑体"/>
                <w:bCs/>
                <w:i/>
                <w:iCs/>
                <w:szCs w:val="21"/>
              </w:rPr>
            </w:pPr>
            <m:oMathPara>
              <m:oMath>
                <m:r>
                  <m:rPr/>
                  <w:rPr>
                    <w:rFonts w:hint="eastAsia" w:ascii="Cambria Math" w:hAnsi="Cambria Math"/>
                    <w:szCs w:val="21"/>
                  </w:rPr>
                  <m:t>C</m:t>
                </m:r>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道路工程全寿命周期的碳排放总量；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cs="宋体"/>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碳汇总量；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拆除阶段的碳排放量；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拆除阶段的材料回收产生的</w:t>
            </w:r>
            <w:r>
              <w:t>碳排放量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拆除阶段的能源消耗产生的</w:t>
            </w:r>
            <w:r>
              <w:t>碳排放量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材料生产阶段的碳排放量；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SG</m:t>
                    </m:r>
                    <m:ctrlPr>
                      <w:rPr>
                        <w:rFonts w:hint="default" w:ascii="Cambria Math" w:hAnsi="Cambria Math"/>
                        <w:i/>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施工阶段的碳排放量；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4"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YS</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ascii="宋体" w:hAnsi="宋体"/>
                <w:bCs/>
                <w:szCs w:val="21"/>
              </w:rPr>
              <w:t>材料运输阶段的碳排放量；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运营维护阶段的碳排放量；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CL</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运营维护阶段的材料消耗产生的</w:t>
            </w:r>
            <w:r>
              <w:t>碳排放量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684" w:type="dxa"/>
            <w:noWrap w:val="0"/>
            <w:vAlign w:val="top"/>
          </w:tcPr>
          <w:p>
            <w:pPr>
              <w:keepNext/>
              <w:spacing w:line="240" w:lineRule="auto"/>
              <w:jc w:val="center"/>
              <w:rPr>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oMath>
            </m:oMathPara>
          </w:p>
        </w:tc>
        <w:tc>
          <w:tcPr>
            <w:tcW w:w="8200"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运营维护阶段的能源消耗产生的</w:t>
            </w:r>
            <w:r>
              <w:t>碳排放量</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2</w:t>
      </w:r>
      <w:r>
        <w:rPr>
          <w:rFonts w:hint="eastAsia" w:eastAsia="黑体" w:cs="黑体"/>
          <w:b/>
          <w:szCs w:val="21"/>
        </w:rPr>
        <w:t xml:space="preserve"> </w:t>
      </w:r>
      <w:r>
        <w:rPr>
          <w:rFonts w:eastAsia="黑体" w:cs="黑体"/>
          <w:b/>
          <w:szCs w:val="21"/>
        </w:rPr>
        <w:t xml:space="preserve"> </w:t>
      </w:r>
      <w:r>
        <w:rPr>
          <w:rFonts w:hint="eastAsia" w:cs="宋体"/>
          <w:szCs w:val="21"/>
        </w:rPr>
        <w:t>碳排放因子</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453"/>
        <w:gridCol w:w="8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F</m:t>
                    </m:r>
                    <m:ctrlPr>
                      <w:rPr>
                        <w:rFonts w:hint="default" w:ascii="Cambria Math" w:hAnsi="Cambria Math"/>
                        <w:szCs w:val="21"/>
                      </w:rPr>
                    </m:ctrlPr>
                  </m:e>
                  <m:sub>
                    <m:r>
                      <m:rPr/>
                      <w:rPr>
                        <w:rFonts w:hint="default" w:ascii="Cambria Math" w:hAnsi="Cambria Math"/>
                        <w:szCs w:val="21"/>
                      </w:rPr>
                      <m:t>i</m:t>
                    </m:r>
                    <m:ctrlPr>
                      <w:rPr>
                        <w:rFonts w:hint="default" w:ascii="Cambria Math" w:hAnsi="Cambria Math"/>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运营维护阶段第</w:t>
            </w:r>
            <m:oMath>
              <m:r>
                <m:rPr/>
                <w:rPr>
                  <w:rFonts w:hint="default" w:ascii="Cambria Math" w:hAnsi="Cambria Math"/>
                  <w:szCs w:val="21"/>
                </w:rPr>
                <m:t>p</m:t>
              </m:r>
            </m:oMath>
            <w:r>
              <w:rPr>
                <w:rFonts w:hint="eastAsia"/>
                <w:szCs w:val="21"/>
              </w:rPr>
              <w:t>种能源的碳排放因子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szCs w:val="21"/>
              </w:rPr>
            </w:pPr>
            <m:oMathPara>
              <m:oMath>
                <m:sSub>
                  <m:sSubPr>
                    <m:ctrlPr>
                      <w:rPr>
                        <w:rFonts w:hint="default" w:ascii="Cambria Math" w:hAnsi="Cambria Math"/>
                        <w:i/>
                      </w:rPr>
                    </m:ctrlPr>
                  </m:sSubPr>
                  <m:e>
                    <m:r>
                      <m:rPr/>
                      <w:rPr>
                        <w:rFonts w:hint="default" w:ascii="Cambria Math" w:hAnsi="Cambria Math"/>
                      </w:rPr>
                      <m:t>F</m:t>
                    </m:r>
                    <m:ctrlPr>
                      <w:rPr>
                        <w:rFonts w:hint="default" w:ascii="Cambria Math" w:hAnsi="Cambria Math"/>
                        <w:i/>
                      </w:rPr>
                    </m:ctrlPr>
                  </m:e>
                  <m:sub>
                    <m:r>
                      <m:rPr/>
                      <w:rPr>
                        <w:rFonts w:hint="default" w:ascii="Cambria Math" w:hAnsi="Cambria Math"/>
                      </w:rPr>
                      <m:t>q</m:t>
                    </m:r>
                    <m:ctrlPr>
                      <w:rPr>
                        <w:rFonts w:hint="default" w:ascii="Cambria Math" w:hAnsi="Cambria Math"/>
                        <w:i/>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拆除阶段</w:t>
            </w:r>
            <w:r>
              <w:rPr>
                <w:rFonts w:hint="eastAsia"/>
              </w:rPr>
              <w:t>第</w:t>
            </w:r>
            <m:oMath>
              <m:r>
                <m:rPr/>
                <w:rPr>
                  <w:rFonts w:hint="default" w:ascii="Cambria Math" w:hAnsi="Cambria Math"/>
                </w:rPr>
                <m:t>q</m:t>
              </m:r>
            </m:oMath>
            <w:r>
              <w:rPr>
                <w:rFonts w:hint="eastAsia"/>
              </w:rPr>
              <w:t>种能源的碳排放因子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rPr>
                    </m:ctrlPr>
                  </m:sSubPr>
                  <m:e>
                    <m:r>
                      <m:rPr/>
                      <w:rPr>
                        <w:rFonts w:hint="default" w:ascii="Cambria Math" w:hAnsi="Cambria Math"/>
                      </w:rPr>
                      <m:t>F</m:t>
                    </m:r>
                    <m:ctrlPr>
                      <w:rPr>
                        <w:rFonts w:hint="default" w:ascii="Cambria Math" w:hAnsi="Cambria Math"/>
                        <w:i/>
                      </w:rPr>
                    </m:ctrlPr>
                  </m:e>
                  <m:sub>
                    <m:r>
                      <m:rPr/>
                      <w:rPr>
                        <w:rFonts w:hint="default" w:ascii="Cambria Math" w:hAnsi="Cambria Math"/>
                      </w:rPr>
                      <m:t>r</m:t>
                    </m:r>
                    <m:ctrlPr>
                      <w:rPr>
                        <w:rFonts w:hint="default" w:ascii="Cambria Math" w:hAnsi="Cambria Math"/>
                        <w:i/>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rPr>
              <w:t>第</w:t>
            </w:r>
            <m:oMath>
              <m:r>
                <m:rPr/>
                <w:rPr>
                  <w:rFonts w:hint="default" w:ascii="Cambria Math" w:hAnsi="Cambria Math"/>
                </w:rPr>
                <m:t>r</m:t>
              </m:r>
            </m:oMath>
            <w:r>
              <w:rPr>
                <w:rFonts w:hint="eastAsia"/>
              </w:rPr>
              <w:t>种材料的</w:t>
            </w:r>
            <w:r>
              <w:rPr>
                <w:rFonts w:hint="eastAsia"/>
                <w:iCs/>
              </w:rPr>
              <w:t>运输方式下</w:t>
            </w:r>
            <w:r>
              <w:rPr>
                <w:rFonts w:hint="eastAsia"/>
              </w:rPr>
              <w:t>单位货运量单位运输距离的碳排放因子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运营维护阶段第</w:t>
            </w:r>
            <m:oMath>
              <m:r>
                <m:rPr/>
                <w:rPr>
                  <w:rFonts w:hint="default" w:ascii="Cambria Math" w:hAnsi="Cambria Math"/>
                  <w:szCs w:val="21"/>
                </w:rPr>
                <m:t>s</m:t>
              </m:r>
            </m:oMath>
            <w:r>
              <w:rPr>
                <w:rFonts w:hint="eastAsia"/>
                <w:szCs w:val="21"/>
              </w:rPr>
              <w:t>种材料的碳排放因子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种材料的碳排放因子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种碳汇的碳汇因子</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FC</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szCs w:val="21"/>
              </w:rPr>
              <w:t>机械设备</w:t>
            </w:r>
            <m:oMath>
              <m:r>
                <m:rPr/>
                <w:rPr>
                  <w:rFonts w:hint="eastAsia" w:ascii="Cambria Math" w:hAnsi="Cambria Math"/>
                  <w:szCs w:val="21"/>
                </w:rPr>
                <m:t>j</m:t>
              </m:r>
            </m:oMath>
            <w:r>
              <w:rPr>
                <w:rFonts w:hint="eastAsia"/>
                <w:szCs w:val="21"/>
              </w:rPr>
              <w:t>所用能源</w:t>
            </w:r>
            <m:oMath>
              <m:r>
                <m:rPr/>
                <w:rPr>
                  <w:rFonts w:hint="default" w:ascii="Cambria Math" w:hAnsi="Cambria Math"/>
                  <w:szCs w:val="21"/>
                </w:rPr>
                <m:t>r</m:t>
              </m:r>
            </m:oMath>
            <w:r>
              <w:rPr>
                <w:rFonts w:hint="eastAsia"/>
                <w:szCs w:val="21"/>
              </w:rPr>
              <w:t>的碳排放因子</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3</w:t>
      </w:r>
      <w:r>
        <w:rPr>
          <w:rFonts w:hint="eastAsia" w:eastAsia="黑体" w:cs="黑体"/>
          <w:b/>
          <w:szCs w:val="21"/>
        </w:rPr>
        <w:t xml:space="preserve"> </w:t>
      </w:r>
      <w:r>
        <w:rPr>
          <w:rFonts w:cs="宋体"/>
          <w:szCs w:val="21"/>
        </w:rPr>
        <w:t xml:space="preserve"> </w:t>
      </w:r>
      <w:r>
        <w:rPr>
          <w:rFonts w:hint="eastAsia" w:cs="宋体"/>
          <w:szCs w:val="21"/>
        </w:rPr>
        <w:t>工程定额和清单量</w:t>
      </w:r>
    </w:p>
    <w:tbl>
      <w:tblPr>
        <w:tblStyle w:val="14"/>
        <w:tblW w:w="8907"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515"/>
        <w:gridCol w:w="8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eastAsia" w:ascii="Cambria Math" w:hAnsi="Cambria Math"/>
                        <w:szCs w:val="21"/>
                      </w:rPr>
                      <m:t>C</m:t>
                    </m:r>
                    <m:ctrlPr>
                      <w:rPr>
                        <w:rFonts w:hint="default" w:ascii="Cambria Math" w:hAnsi="Cambria Math"/>
                        <w:i/>
                        <w:szCs w:val="21"/>
                      </w:rPr>
                    </m:ctrlPr>
                  </m:e>
                  <m:sub>
                    <m:r>
                      <m:rPr/>
                      <w:rPr>
                        <w:rFonts w:hint="eastAsia" w:ascii="Cambria Math" w:hAnsi="Cambria Math"/>
                        <w:szCs w:val="21"/>
                      </w:rPr>
                      <m:t>w</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种碳汇的面积</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cs</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措施项目总能源消耗量；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fx</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分部分项工程总能源消耗量；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运营维护阶段第</w:t>
            </w:r>
            <m:oMath>
              <m:r>
                <m:rPr/>
                <w:rPr>
                  <w:rFonts w:hint="default" w:ascii="Cambria Math" w:hAnsi="Cambria Math"/>
                  <w:szCs w:val="21"/>
                </w:rPr>
                <m:t>p</m:t>
              </m:r>
            </m:oMath>
            <w:r>
              <w:rPr>
                <w:rFonts w:hint="eastAsia"/>
                <w:szCs w:val="21"/>
              </w:rPr>
              <w:t>种能源的消耗量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SG</m:t>
                    </m:r>
                    <m:ctrlPr>
                      <w:rPr>
                        <w:rFonts w:hint="default" w:ascii="Cambria Math" w:hAnsi="Cambria Math"/>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ascii="宋体" w:hAnsi="宋体"/>
                <w:bCs/>
                <w:szCs w:val="21"/>
              </w:rPr>
              <w:t>施工阶段总能源消耗量；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个项目第</w:t>
            </w:r>
            <m:oMath>
              <m:r>
                <m:rPr/>
                <w:rPr>
                  <w:rFonts w:hint="default" w:ascii="Cambria Math" w:hAnsi="Cambria Math"/>
                  <w:szCs w:val="21"/>
                </w:rPr>
                <m:t>v</m:t>
              </m:r>
            </m:oMath>
            <w:r>
              <w:rPr>
                <w:szCs w:val="21"/>
              </w:rPr>
              <w:t>种</w:t>
            </w:r>
            <w:r>
              <w:rPr>
                <w:rFonts w:hint="eastAsia"/>
              </w:rPr>
              <w:t>机械设备单位台班的能源消耗量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vv,u</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个项目中小型施工机具消耗能源消耗量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y</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个项目第</w:t>
            </w:r>
            <m:oMath>
              <m:r>
                <m:rPr/>
                <w:rPr>
                  <w:rFonts w:hint="default" w:ascii="Cambria Math" w:hAnsi="Cambria Math"/>
                  <w:szCs w:val="21"/>
                </w:rPr>
                <m:t>y</m:t>
              </m:r>
            </m:oMath>
            <w:r>
              <w:rPr>
                <w:szCs w:val="21"/>
              </w:rPr>
              <w:t>种</w:t>
            </w:r>
            <w:r>
              <w:rPr>
                <w:rFonts w:hint="eastAsia"/>
              </w:rPr>
              <w:t>机械设备单位台班的能源消耗量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机械设备</w:t>
            </w:r>
            <m:oMath>
              <m:r>
                <m:rPr/>
                <w:rPr>
                  <w:rFonts w:hint="eastAsia" w:ascii="Cambria Math" w:hAnsi="Cambria Math"/>
                  <w:szCs w:val="21"/>
                </w:rPr>
                <m:t>j</m:t>
              </m:r>
            </m:oMath>
            <w:r>
              <w:rPr>
                <w:rFonts w:hint="eastAsia"/>
                <w:szCs w:val="21"/>
              </w:rPr>
              <w:t>每台班能源</w:t>
            </w:r>
            <m:oMath>
              <m:r>
                <m:rPr/>
                <w:rPr>
                  <w:rFonts w:hint="default" w:ascii="Cambria Math" w:hAnsi="Cambria Math"/>
                  <w:szCs w:val="21"/>
                </w:rPr>
                <m:t>r</m:t>
              </m:r>
            </m:oMath>
            <w:r>
              <w:rPr>
                <w:rFonts w:hint="eastAsia"/>
                <w:szCs w:val="21"/>
              </w:rPr>
              <w:t>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M</m:t>
                    </m:r>
                    <m:ctrlPr>
                      <w:rPr>
                        <w:rFonts w:hint="default" w:ascii="Cambria Math" w:hAnsi="Cambria Math"/>
                        <w:szCs w:val="21"/>
                      </w:rPr>
                    </m:ctrlPr>
                  </m:e>
                  <m:sub>
                    <m:r>
                      <m:rPr/>
                      <w:rPr>
                        <w:rFonts w:hint="default" w:ascii="Cambria Math" w:hAnsi="Cambria Math"/>
                        <w:szCs w:val="21"/>
                      </w:rPr>
                      <m:t>i</m:t>
                    </m:r>
                    <m:ctrlPr>
                      <w:rPr>
                        <w:rFonts w:hint="default" w:ascii="Cambria Math" w:hAnsi="Cambria Math"/>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r</m:t>
              </m:r>
            </m:oMath>
            <w:r>
              <w:rPr>
                <w:rFonts w:hint="eastAsia"/>
                <w:szCs w:val="21"/>
              </w:rPr>
              <w:t>种材料的运输量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0"/>
              </w:rPr>
              <w:t>运营维护阶段</w:t>
            </w:r>
            <w:r>
              <w:rPr>
                <w:rFonts w:hint="eastAsia"/>
                <w:szCs w:val="21"/>
              </w:rPr>
              <w:t>第</w:t>
            </w:r>
            <m:oMath>
              <m:r>
                <m:rPr/>
                <w:rPr>
                  <w:rFonts w:hint="default" w:ascii="Cambria Math" w:hAnsi="Cambria Math"/>
                  <w:szCs w:val="21"/>
                </w:rPr>
                <m:t>s</m:t>
              </m:r>
            </m:oMath>
            <w:r>
              <w:rPr>
                <w:rFonts w:hint="eastAsia"/>
                <w:szCs w:val="21"/>
              </w:rPr>
              <w:t>种材料的消耗量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eastAsia" w:ascii="Cambria Math" w:hAnsi="Cambria Math"/>
                        <w:szCs w:val="21"/>
                      </w:rPr>
                      <m:t>t</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种材料的回收量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j</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机械设备</w:t>
            </w:r>
            <m:oMath>
              <m:r>
                <m:rPr/>
                <w:rPr>
                  <w:rFonts w:hint="eastAsia" w:ascii="Cambria Math" w:hAnsi="Cambria Math"/>
                  <w:szCs w:val="21"/>
                </w:rPr>
                <m:t>j</m:t>
              </m:r>
            </m:oMath>
            <w:r>
              <w:rPr>
                <w:rFonts w:hint="eastAsia"/>
                <w:szCs w:val="21"/>
              </w:rPr>
              <w:t>的台班量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rPr>
                    </m:ctrlPr>
                  </m:sSubPr>
                  <m:e>
                    <m:r>
                      <m:rPr/>
                      <w:rPr>
                        <w:rFonts w:hint="default" w:ascii="Cambria Math" w:hAnsi="Cambria Math"/>
                      </w:rPr>
                      <m:t>N</m:t>
                    </m:r>
                    <m:ctrlPr>
                      <w:rPr>
                        <w:rFonts w:hint="default" w:ascii="Cambria Math" w:hAnsi="Cambria Math"/>
                        <w:i/>
                      </w:rPr>
                    </m:ctrlPr>
                  </m:e>
                  <m:sub>
                    <m:r>
                      <m:rPr/>
                      <w:rPr>
                        <w:rFonts w:hint="default" w:ascii="Cambria Math" w:hAnsi="Cambria Math"/>
                      </w:rPr>
                      <m:t>q</m:t>
                    </m:r>
                    <m:ctrlPr>
                      <w:rPr>
                        <w:rFonts w:hint="default" w:ascii="Cambria Math" w:hAnsi="Cambria Math"/>
                        <w:i/>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rPr>
              <w:t>拆除阶段第</w:t>
            </w:r>
            <m:oMath>
              <m:r>
                <m:rPr/>
                <w:rPr>
                  <w:rFonts w:hint="default" w:ascii="Cambria Math" w:hAnsi="Cambria Math"/>
                </w:rPr>
                <m:t>q</m:t>
              </m:r>
            </m:oMath>
            <w:r>
              <w:rPr>
                <w:rFonts w:hint="eastAsia"/>
              </w:rPr>
              <w:t>种能源的消耗量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u,v</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个项目单位工程量的第</w:t>
            </w:r>
            <m:oMath>
              <m:r>
                <m:rPr/>
                <w:rPr>
                  <w:rFonts w:hint="default" w:ascii="Cambria Math" w:hAnsi="Cambria Math"/>
                  <w:szCs w:val="21"/>
                </w:rPr>
                <m:t>v</m:t>
              </m:r>
            </m:oMath>
            <w:r>
              <w:rPr>
                <w:szCs w:val="21"/>
              </w:rPr>
              <w:t>种</w:t>
            </w:r>
            <w:r>
              <w:rPr>
                <w:rFonts w:hint="eastAsia"/>
              </w:rPr>
              <w:t>机械设备的台班量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措施项目中第</w:t>
            </w:r>
            <m:oMath>
              <m:r>
                <m:rPr/>
                <w:rPr>
                  <w:rFonts w:hint="default" w:ascii="Cambria Math" w:hAnsi="Cambria Math"/>
                  <w:szCs w:val="21"/>
                </w:rPr>
                <m:t>x</m:t>
              </m:r>
            </m:oMath>
            <w:r>
              <w:rPr>
                <w:rFonts w:hint="eastAsia"/>
                <w:szCs w:val="21"/>
              </w:rPr>
              <w:t>个项目的工程量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fx,</m:t>
                    </m:r>
                    <m:r>
                      <m:rPr/>
                      <w:rPr>
                        <w:rFonts w:hint="eastAsia" w:ascii="Cambria Math" w:hAnsi="Cambria Math"/>
                        <w:szCs w:val="21"/>
                      </w:rPr>
                      <m:t>u</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个项目的工程量</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515"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T</m:t>
                    </m:r>
                    <m:ctrlPr>
                      <w:rPr>
                        <w:rFonts w:hint="default" w:ascii="Cambria Math" w:hAnsi="Cambria Math"/>
                        <w:i/>
                        <w:szCs w:val="21"/>
                      </w:rPr>
                    </m:ctrlPr>
                  </m:e>
                  <m:sub>
                    <m:r>
                      <m:rPr/>
                      <w:rPr>
                        <w:rFonts w:hint="default" w:ascii="Cambria Math" w:hAnsi="Cambria Math"/>
                        <w:szCs w:val="21"/>
                      </w:rPr>
                      <m:t>x,y</m:t>
                    </m:r>
                    <m:ctrlPr>
                      <w:rPr>
                        <w:rFonts w:hint="default" w:ascii="Cambria Math" w:hAnsi="Cambria Math"/>
                        <w:i/>
                        <w:szCs w:val="21"/>
                      </w:rPr>
                    </m:ctrlPr>
                  </m:sub>
                </m:sSub>
              </m:oMath>
            </m:oMathPara>
          </w:p>
        </w:tc>
        <w:tc>
          <w:tcPr>
            <w:tcW w:w="8392" w:type="dxa"/>
            <w:noWrap w:val="0"/>
            <w:vAlign w:val="top"/>
          </w:tcPr>
          <w:p>
            <w:pPr>
              <w:keepNext/>
              <w:spacing w:line="240" w:lineRule="auto"/>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个措施项目单位工程量的第</w:t>
            </w:r>
            <m:oMath>
              <m:r>
                <m:rPr/>
                <w:rPr>
                  <w:rFonts w:hint="default" w:ascii="Cambria Math" w:hAnsi="Cambria Math"/>
                  <w:szCs w:val="21"/>
                </w:rPr>
                <m:t>y</m:t>
              </m:r>
            </m:oMath>
            <w:r>
              <w:rPr>
                <w:szCs w:val="21"/>
              </w:rPr>
              <w:t>种</w:t>
            </w:r>
            <w:r>
              <w:rPr>
                <w:rFonts w:hint="eastAsia"/>
              </w:rPr>
              <w:t>机械设备的台班量</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4</w:t>
      </w:r>
      <w:r>
        <w:rPr>
          <w:rFonts w:hint="eastAsia" w:eastAsia="黑体" w:cs="黑体"/>
          <w:b/>
          <w:szCs w:val="21"/>
        </w:rPr>
        <w:t xml:space="preserve"> </w:t>
      </w:r>
      <w:r>
        <w:rPr>
          <w:rFonts w:eastAsia="黑体" w:cs="黑体"/>
          <w:b/>
          <w:szCs w:val="21"/>
        </w:rPr>
        <w:t xml:space="preserve"> </w:t>
      </w:r>
      <w:r>
        <w:rPr>
          <w:rFonts w:hint="eastAsia" w:cs="宋体"/>
          <w:szCs w:val="21"/>
        </w:rPr>
        <w:t>能耗系数及其他</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454"/>
        <w:gridCol w:w="8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4" w:type="dxa"/>
            <w:noWrap w:val="0"/>
            <w:vAlign w:val="top"/>
          </w:tcPr>
          <w:p>
            <w:pPr>
              <w:keepNext/>
              <w:spacing w:line="240" w:lineRule="auto"/>
              <w:jc w:val="center"/>
              <w:rPr>
                <w:rFonts w:cs="宋体"/>
              </w:rPr>
            </w:pPr>
            <m:oMathPara>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rFonts w:hint="eastAsia"/>
                <w:kern w:val="0"/>
                <w:szCs w:val="21"/>
              </w:rPr>
              <w:t>采用功能单位</w:t>
            </w:r>
            <m:oMath>
              <m:r>
                <m:rPr/>
                <w:rPr>
                  <w:rFonts w:hint="default" w:ascii="Cambria Math" w:hAnsi="Cambria Math"/>
                  <w:kern w:val="0"/>
                  <w:szCs w:val="21"/>
                </w:rPr>
                <m:t>ℎ</m:t>
              </m:r>
            </m:oMath>
            <w:r>
              <w:rPr>
                <w:kern w:val="0"/>
                <w:szCs w:val="21"/>
              </w:rPr>
              <w:t>时的道路工程碳排放指标</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rPr>
                    </m:ctrlPr>
                  </m:sSubPr>
                  <m:e>
                    <m:r>
                      <m:rPr/>
                      <w:rPr>
                        <w:rFonts w:hint="default" w:ascii="Cambria Math" w:hAnsi="Cambria Math"/>
                      </w:rPr>
                      <m:t>D</m:t>
                    </m:r>
                    <m:ctrlPr>
                      <w:rPr>
                        <w:rFonts w:hint="default" w:ascii="Cambria Math" w:hAnsi="Cambria Math"/>
                      </w:rPr>
                    </m:ctrlPr>
                  </m:e>
                  <m:sub>
                    <m:r>
                      <m:rPr/>
                      <w:rPr>
                        <w:rFonts w:hint="default" w:ascii="Cambria Math" w:hAnsi="Cambria Math"/>
                      </w:rPr>
                      <m:t>r</m:t>
                    </m:r>
                    <m:ctrlPr>
                      <w:rPr>
                        <w:rFonts w:hint="default" w:ascii="Cambria Math" w:hAnsi="Cambria Math"/>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rFonts w:hint="eastAsia"/>
              </w:rPr>
              <w:t>使用第</w:t>
            </w:r>
            <m:oMath>
              <m:r>
                <m:rPr/>
                <w:rPr>
                  <w:rFonts w:hint="default" w:ascii="Cambria Math" w:hAnsi="Cambria Math"/>
                </w:rPr>
                <m:t>r</m:t>
              </m:r>
            </m:oMath>
            <w:r>
              <w:rPr>
                <w:rFonts w:hint="eastAsia"/>
                <w:iCs/>
              </w:rPr>
              <w:t>种材料</w:t>
            </w:r>
            <w:r>
              <w:rPr>
                <w:rFonts w:hint="eastAsia"/>
              </w:rPr>
              <w:t>的平均运输距离</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4"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szCs w:val="21"/>
              </w:rPr>
              <w:t>措施项目中第</w:t>
            </w:r>
            <m:oMath>
              <m:r>
                <m:rPr/>
                <w:rPr>
                  <w:rFonts w:hint="default" w:ascii="Cambria Math" w:hAnsi="Cambria Math"/>
                  <w:szCs w:val="21"/>
                </w:rPr>
                <m:t>x</m:t>
              </m:r>
            </m:oMath>
            <w:r>
              <w:rPr>
                <w:szCs w:val="21"/>
              </w:rPr>
              <w:t>个项目的能耗系数</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个项目的能耗系数</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rPr>
          <w:trHeight w:val="57" w:hRule="atLeast"/>
        </w:trPr>
        <w:tc>
          <w:tcPr>
            <w:tcW w:w="454"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L</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8430" w:type="dxa"/>
            <w:noWrap w:val="0"/>
            <w:vAlign w:val="top"/>
          </w:tcPr>
          <w:p>
            <w:pPr>
              <w:keepNext/>
              <w:spacing w:line="240" w:lineRule="auto"/>
              <w:jc w:val="left"/>
              <w:rPr>
                <w:rFonts w:eastAsia="黑体"/>
                <w:bCs/>
                <w:szCs w:val="21"/>
              </w:rPr>
            </w:pPr>
            <w:r>
              <w:rPr>
                <w:rFonts w:eastAsia="黑体"/>
                <w:bCs/>
                <w:szCs w:val="21"/>
              </w:rPr>
              <w:t>——</w:t>
            </w:r>
            <w:r>
              <w:rPr>
                <w:szCs w:val="21"/>
              </w:rPr>
              <w:t>功能单位</w:t>
            </w:r>
            <m:oMath>
              <m:r>
                <m:rPr/>
                <w:rPr>
                  <w:rFonts w:hint="default" w:ascii="Cambria Math" w:hAnsi="Cambria Math"/>
                  <w:szCs w:val="21"/>
                </w:rPr>
                <m:t>ℎ</m:t>
              </m:r>
            </m:oMath>
            <w:r>
              <w:rPr>
                <w:szCs w:val="21"/>
              </w:rPr>
              <w:t>的总量</w:t>
            </w:r>
            <w:r>
              <w:rPr>
                <w:rFonts w:hint="eastAsia" w:ascii="宋体" w:hAnsi="宋体"/>
                <w:bCs/>
                <w:szCs w:val="21"/>
              </w:rPr>
              <w:t>。</w:t>
            </w:r>
          </w:p>
        </w:tc>
      </w:tr>
    </w:tbl>
    <w:p>
      <w:pPr>
        <w:keepNext/>
        <w:spacing w:line="240" w:lineRule="auto"/>
        <w:rPr>
          <w:rFonts w:cs="宋体"/>
          <w:szCs w:val="21"/>
        </w:rPr>
      </w:pPr>
      <w:r>
        <w:rPr>
          <w:rFonts w:hint="eastAsia" w:eastAsia="黑体"/>
          <w:b/>
          <w:bCs/>
          <w:szCs w:val="21"/>
        </w:rPr>
        <w:t>2</w:t>
      </w:r>
      <w:r>
        <w:rPr>
          <w:rFonts w:hint="eastAsia" w:ascii="宋体" w:hAnsi="宋体"/>
          <w:b/>
          <w:bCs/>
          <w:szCs w:val="21"/>
        </w:rPr>
        <w:t>.</w:t>
      </w:r>
      <w:r>
        <w:rPr>
          <w:rFonts w:eastAsia="黑体"/>
          <w:b/>
          <w:bCs/>
          <w:szCs w:val="21"/>
        </w:rPr>
        <w:t>2</w:t>
      </w:r>
      <w:r>
        <w:rPr>
          <w:rFonts w:hint="eastAsia" w:ascii="宋体" w:hAnsi="宋体"/>
          <w:b/>
          <w:bCs/>
          <w:szCs w:val="21"/>
        </w:rPr>
        <w:t>.</w:t>
      </w:r>
      <w:r>
        <w:rPr>
          <w:rFonts w:hint="eastAsia" w:eastAsia="黑体"/>
          <w:b/>
          <w:bCs/>
          <w:szCs w:val="21"/>
        </w:rPr>
        <w:t>5</w:t>
      </w:r>
      <w:r>
        <w:rPr>
          <w:rFonts w:hint="eastAsia" w:eastAsia="黑体" w:cs="黑体"/>
          <w:b/>
          <w:szCs w:val="21"/>
        </w:rPr>
        <w:t xml:space="preserve"> </w:t>
      </w:r>
      <w:r>
        <w:rPr>
          <w:rFonts w:eastAsia="黑体" w:cs="黑体"/>
          <w:b/>
          <w:szCs w:val="21"/>
        </w:rPr>
        <w:t xml:space="preserve"> </w:t>
      </w:r>
      <w:r>
        <w:rPr>
          <w:rFonts w:hint="eastAsia" w:cs="宋体"/>
          <w:szCs w:val="21"/>
        </w:rPr>
        <w:t>低 碳 评 价</w:t>
      </w:r>
    </w:p>
    <w:tbl>
      <w:tblPr>
        <w:tblStyle w:val="14"/>
        <w:tblW w:w="8884"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453"/>
        <w:gridCol w:w="8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cs="宋体"/>
                <w:szCs w:val="21"/>
              </w:rPr>
            </w:pPr>
            <m:oMathPara>
              <m:oMath>
                <m:sSub>
                  <m:sSubPr>
                    <m:ctrlPr>
                      <w:rPr>
                        <w:rFonts w:hint="default" w:ascii="Cambria Math" w:hAnsi="Cambria Math"/>
                        <w:i/>
                        <w:szCs w:val="21"/>
                      </w:rPr>
                    </m:ctrlPr>
                  </m:sSubPr>
                  <m:e>
                    <m:r>
                      <m:rPr/>
                      <w:rPr>
                        <w:rFonts w:hint="default" w:ascii="Cambria Math" w:hAnsi="Cambria Math"/>
                        <w:szCs w:val="21"/>
                      </w:rPr>
                      <m:t>a</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评价项目</w:t>
            </w:r>
            <w:r>
              <w:rPr>
                <w:szCs w:val="21"/>
              </w:rPr>
              <w:t>第</w:t>
            </w:r>
            <m:oMath>
              <m:r>
                <m:rPr/>
                <w:rPr>
                  <w:rFonts w:hint="default" w:ascii="Cambria Math" w:hAnsi="Cambria Math"/>
                  <w:szCs w:val="21"/>
                </w:rPr>
                <m:t>t</m:t>
              </m:r>
            </m:oMath>
            <w:r>
              <w:rPr>
                <w:szCs w:val="21"/>
              </w:rPr>
              <w:t>个底层评价指标的实际评分值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453" w:type="dxa"/>
            <w:noWrap w:val="0"/>
            <w:vAlign w:val="top"/>
          </w:tcPr>
          <w:p>
            <w:pPr>
              <w:keepNext/>
              <w:spacing w:line="240" w:lineRule="auto"/>
              <w:jc w:val="center"/>
              <w:rPr>
                <w:rFonts w:ascii="Cambria Math" w:hAnsi="Cambria Math" w:eastAsia="黑体"/>
                <w:bCs/>
                <w:szCs w:val="21"/>
              </w:rPr>
            </w:pPr>
            <m:oMathPara>
              <m:oMath>
                <m:r>
                  <m:rPr/>
                  <w:rPr>
                    <w:rFonts w:hint="default" w:ascii="Cambria Math" w:hAnsi="Cambria Math"/>
                    <w:szCs w:val="21"/>
                  </w:rPr>
                  <m:t>F</m:t>
                </m:r>
              </m:oMath>
            </m:oMathPara>
          </w:p>
        </w:tc>
        <w:tc>
          <w:tcPr>
            <w:tcW w:w="8431"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“碳达峰、碳中和”的目标符合性评分值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rPr>
          <w:trHeight w:val="57" w:hRule="atLeast"/>
        </w:trPr>
        <w:tc>
          <w:tcPr>
            <w:tcW w:w="453"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ω</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8431" w:type="dxa"/>
            <w:noWrap w:val="0"/>
            <w:vAlign w:val="top"/>
          </w:tcPr>
          <w:p>
            <w:pPr>
              <w:keepNext/>
              <w:spacing w:line="240" w:lineRule="auto"/>
              <w:jc w:val="left"/>
              <w:rPr>
                <w:rFonts w:eastAsia="黑体"/>
                <w:bCs/>
                <w:szCs w:val="21"/>
              </w:rPr>
            </w:pPr>
            <w:r>
              <w:rPr>
                <w:rFonts w:eastAsia="黑体"/>
                <w:bCs/>
                <w:szCs w:val="21"/>
              </w:rPr>
              <w:t>——</w:t>
            </w:r>
            <w:r>
              <w:rPr>
                <w:szCs w:val="21"/>
              </w:rPr>
              <w:t>评价项目第</w:t>
            </w:r>
            <m:oMath>
              <m:r>
                <m:rPr/>
                <w:rPr>
                  <w:rFonts w:hint="default" w:ascii="Cambria Math" w:hAnsi="Cambria Math"/>
                  <w:szCs w:val="21"/>
                </w:rPr>
                <m:t>t</m:t>
              </m:r>
            </m:oMath>
            <w:r>
              <w:rPr>
                <w:szCs w:val="21"/>
              </w:rPr>
              <w:t>个评价指标的最大评分值</w:t>
            </w:r>
            <w:r>
              <w:rPr>
                <w:rFonts w:hint="eastAsia" w:ascii="宋体" w:hAnsi="宋体"/>
                <w:bCs/>
                <w:szCs w:val="21"/>
              </w:rPr>
              <w:t>。</w:t>
            </w:r>
          </w:p>
        </w:tc>
      </w:tr>
    </w:tbl>
    <w:p>
      <w:pPr>
        <w:ind w:firstLine="420" w:firstLineChars="200"/>
        <w:rPr>
          <w:rFonts w:ascii="黑体" w:hAnsi="黑体" w:eastAsia="黑体" w:cs="Times New Roman"/>
          <w:szCs w:val="21"/>
        </w:rPr>
      </w:pPr>
      <w:r>
        <w:rPr>
          <w:rFonts w:cs="宋体"/>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53" w:name="_Toc161134659"/>
      <w:bookmarkStart w:id="54" w:name="_Toc93999725"/>
      <w:bookmarkStart w:id="55" w:name="_Toc160030977"/>
      <w:bookmarkStart w:id="56" w:name="_Toc160032802"/>
      <w:bookmarkStart w:id="57" w:name="_Toc93998964"/>
      <w:bookmarkStart w:id="58" w:name="_Toc160030715"/>
      <w:r>
        <w:rPr>
          <w:rStyle w:val="19"/>
          <w:rFonts w:ascii="Times New Roman" w:hAnsi="Times New Roman" w:cs="Times New Roman"/>
          <w:sz w:val="28"/>
          <w:szCs w:val="28"/>
        </w:rPr>
        <w:t>3</w:t>
      </w:r>
      <w:r>
        <w:rPr>
          <w:rStyle w:val="19"/>
          <w:rFonts w:hint="eastAsia" w:ascii="宋体" w:hAnsi="宋体"/>
          <w:sz w:val="28"/>
          <w:szCs w:val="28"/>
        </w:rPr>
        <w:t xml:space="preserve">  </w:t>
      </w:r>
      <w:r>
        <w:rPr>
          <w:rStyle w:val="19"/>
          <w:rFonts w:hint="eastAsia" w:ascii="宋体" w:hAnsi="宋体" w:eastAsia="宋体"/>
          <w:b w:val="0"/>
          <w:bCs w:val="0"/>
          <w:sz w:val="28"/>
          <w:szCs w:val="28"/>
        </w:rPr>
        <w:t>基 本 规 定</w:t>
      </w:r>
      <w:bookmarkEnd w:id="53"/>
      <w:bookmarkEnd w:id="54"/>
      <w:bookmarkEnd w:id="55"/>
      <w:bookmarkEnd w:id="56"/>
      <w:bookmarkEnd w:id="57"/>
      <w:bookmarkEnd w:id="58"/>
    </w:p>
    <w:p>
      <w:pPr>
        <w:pStyle w:val="4"/>
        <w:spacing w:before="240" w:after="240" w:line="240" w:lineRule="auto"/>
        <w:jc w:val="center"/>
        <w:rPr>
          <w:rFonts w:ascii="黑体" w:hAnsi="黑体" w:cs="宋体"/>
          <w:b w:val="0"/>
          <w:bCs w:val="0"/>
          <w:sz w:val="21"/>
          <w:szCs w:val="21"/>
        </w:rPr>
      </w:pPr>
      <w:bookmarkStart w:id="59" w:name="_Toc93998967"/>
      <w:bookmarkStart w:id="60" w:name="_Toc93999728"/>
      <w:bookmarkStart w:id="61" w:name="_Toc160030978"/>
      <w:bookmarkStart w:id="62" w:name="_Toc161134660"/>
      <w:bookmarkStart w:id="63" w:name="_Toc160030716"/>
      <w:bookmarkStart w:id="64" w:name="_Toc160032803"/>
      <w:bookmarkStart w:id="65" w:name="OLE_LINK13"/>
      <w:r>
        <w:rPr>
          <w:rFonts w:ascii="Times New Roman" w:hAnsi="Times New Roman"/>
          <w:sz w:val="21"/>
          <w:szCs w:val="21"/>
        </w:rPr>
        <w:t>3</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bookmarkEnd w:id="59"/>
      <w:bookmarkEnd w:id="60"/>
      <w:r>
        <w:rPr>
          <w:rFonts w:hint="eastAsia" w:ascii="黑体" w:hAnsi="黑体" w:eastAsia="黑体"/>
          <w:b w:val="0"/>
          <w:sz w:val="21"/>
          <w:szCs w:val="21"/>
        </w:rPr>
        <w:t>低碳设计原则</w:t>
      </w:r>
      <w:bookmarkEnd w:id="61"/>
      <w:bookmarkEnd w:id="62"/>
      <w:bookmarkEnd w:id="63"/>
      <w:bookmarkEnd w:id="64"/>
    </w:p>
    <w:bookmarkEnd w:id="65"/>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b/>
          <w:bCs/>
          <w:szCs w:val="21"/>
        </w:rPr>
        <w:t>1</w:t>
      </w:r>
      <w:r>
        <w:rPr>
          <w:rFonts w:hint="eastAsia"/>
          <w:szCs w:val="21"/>
        </w:rPr>
        <w:t xml:space="preserve"> </w:t>
      </w:r>
      <w:r>
        <w:rPr>
          <w:szCs w:val="21"/>
        </w:rPr>
        <w:t xml:space="preserve"> </w:t>
      </w:r>
      <w:r>
        <w:rPr>
          <w:rFonts w:hint="eastAsia"/>
          <w:szCs w:val="21"/>
        </w:rPr>
        <w:t>道路工程低碳设计，应在保证经济、安全、绿色、生态、智慧等基本要求的前提下，以经济高质量发展与城市品质提升为目标，结合工程实际和项目定位，采用全过程工程咨询等组织管理方式，在设计阶段合理选择技术标准、精心比选工程方案，将</w:t>
      </w:r>
      <w:bookmarkStart w:id="66" w:name="OLE_LINK111"/>
      <w:bookmarkStart w:id="67" w:name="OLE_LINK110"/>
      <w:r>
        <w:rPr>
          <w:rFonts w:hint="eastAsia"/>
          <w:szCs w:val="21"/>
        </w:rPr>
        <w:t>减少碳源、增加碳汇</w:t>
      </w:r>
      <w:bookmarkEnd w:id="66"/>
      <w:bookmarkEnd w:id="67"/>
      <w:r>
        <w:rPr>
          <w:rFonts w:hint="eastAsia"/>
          <w:szCs w:val="21"/>
        </w:rPr>
        <w:t>的理念贯穿道路工程的设计、施工、运营维护及拆除等过程。</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道路工程设计阶段，应在保证道路工程总体方案合理性以及构造物设置科学规范化的前提下，合理选择低碳设计方案和措施。</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道路工程施工阶段，低碳设计</w:t>
      </w:r>
      <w:bookmarkStart w:id="68" w:name="OLE_LINK138"/>
      <w:r>
        <w:rPr>
          <w:rFonts w:hint="eastAsia"/>
          <w:szCs w:val="21"/>
        </w:rPr>
        <w:t>应考虑以下因素：</w:t>
      </w:r>
    </w:p>
    <w:bookmarkEnd w:id="68"/>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采用精益化施工组织方案，</w:t>
      </w:r>
      <w:r>
        <w:rPr>
          <w:rFonts w:hint="eastAsia"/>
          <w:szCs w:val="21"/>
        </w:rPr>
        <w:t>协调不同专业的施工工序</w:t>
      </w:r>
      <w:r>
        <w:rPr>
          <w:rFonts w:hint="eastAsia"/>
          <w:bCs/>
          <w:szCs w:val="21"/>
        </w:rPr>
        <w:t>；</w:t>
      </w:r>
    </w:p>
    <w:p>
      <w:pPr>
        <w:tabs>
          <w:tab w:val="left" w:pos="8154"/>
        </w:tabs>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使用低碳材料、可再生材料和新型材料；</w:t>
      </w:r>
      <w:r>
        <w:rPr>
          <w:szCs w:val="21"/>
        </w:rPr>
        <w:tab/>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合理安排物资调配、储存和使用，控制材料损耗率；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制定合理的能源消耗指标；</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选择能源利用率高、碳排放低的机械设备；</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采用节水技术，施工废水、生活污水再生利用；</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bookmarkStart w:id="69" w:name="OLE_LINK70"/>
      <w:bookmarkStart w:id="70" w:name="OLE_LINK69"/>
      <w:r>
        <w:rPr>
          <w:rFonts w:hint="eastAsia"/>
          <w:szCs w:val="21"/>
        </w:rPr>
        <w:t>推行标准化建造，推广环境友好型的施工工艺</w:t>
      </w:r>
      <w:bookmarkEnd w:id="69"/>
      <w:bookmarkEnd w:id="70"/>
      <w:r>
        <w:rPr>
          <w:rFonts w:hint="eastAsia"/>
          <w:szCs w:val="21"/>
        </w:rPr>
        <w:t>、绿色技术和可持续施工方法；</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推行废弃物的源头减量、分类、回收、处理和综合利用</w:t>
      </w:r>
      <w:r>
        <w:rPr>
          <w:szCs w:val="21"/>
        </w:rPr>
        <w:t>。</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道路工程运营维护阶段，应从照明、通风、供配电、房屋建筑、供暖、空调、用水、运输、维护材料、养护设备等</w:t>
      </w:r>
      <w:bookmarkStart w:id="71" w:name="OLE_LINK137"/>
      <w:r>
        <w:rPr>
          <w:rFonts w:hint="eastAsia"/>
          <w:szCs w:val="21"/>
        </w:rPr>
        <w:t>相关活动控制碳排放。</w:t>
      </w:r>
    </w:p>
    <w:bookmarkEnd w:id="71"/>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道路工程拆除阶段，应从拆除工艺、机械设备、废弃物分类和资源化利用、生态修复等相关活动控制碳排放。</w:t>
      </w:r>
    </w:p>
    <w:p>
      <w:pPr>
        <w:spacing w:line="240" w:lineRule="auto"/>
        <w:rPr>
          <w:szCs w:val="21"/>
        </w:rPr>
      </w:pPr>
      <w:bookmarkStart w:id="72" w:name="OLE_LINK103"/>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rFonts w:hint="eastAsia"/>
          <w:szCs w:val="21"/>
        </w:rPr>
        <w:t xml:space="preserve"> </w:t>
      </w:r>
      <w:r>
        <w:rPr>
          <w:szCs w:val="21"/>
        </w:rPr>
        <w:t xml:space="preserve"> </w:t>
      </w:r>
      <w:bookmarkEnd w:id="72"/>
      <w:bookmarkStart w:id="73" w:name="OLE_LINK114"/>
      <w:bookmarkStart w:id="74" w:name="OLE_LINK113"/>
      <w:bookmarkStart w:id="75" w:name="OLE_LINK124"/>
      <w:r>
        <w:rPr>
          <w:rFonts w:hint="eastAsia"/>
          <w:szCs w:val="21"/>
        </w:rPr>
        <w:t>可行性研究</w:t>
      </w:r>
      <w:bookmarkEnd w:id="73"/>
      <w:bookmarkEnd w:id="74"/>
      <w:r>
        <w:rPr>
          <w:rFonts w:hint="eastAsia"/>
          <w:szCs w:val="21"/>
        </w:rPr>
        <w:t>、初步设计、施工图设计</w:t>
      </w:r>
      <w:bookmarkEnd w:id="75"/>
      <w:r>
        <w:rPr>
          <w:rFonts w:hint="eastAsia"/>
          <w:szCs w:val="21"/>
        </w:rPr>
        <w:t>、</w:t>
      </w:r>
      <w:bookmarkStart w:id="76" w:name="OLE_LINK78"/>
      <w:r>
        <w:rPr>
          <w:rFonts w:hint="eastAsia"/>
          <w:szCs w:val="21"/>
        </w:rPr>
        <w:t>竣工结算与决算</w:t>
      </w:r>
      <w:bookmarkEnd w:id="76"/>
      <w:r>
        <w:rPr>
          <w:rFonts w:hint="eastAsia"/>
          <w:szCs w:val="21"/>
        </w:rPr>
        <w:t>等阶段宜计算道路工程碳排放量和碳排放强度。</w:t>
      </w:r>
    </w:p>
    <w:p>
      <w:pPr>
        <w:spacing w:line="240" w:lineRule="auto"/>
        <w:rPr>
          <w:szCs w:val="21"/>
        </w:rPr>
      </w:pPr>
      <w:r>
        <w:rPr>
          <w:b/>
          <w:bCs/>
          <w:szCs w:val="21"/>
        </w:rPr>
        <w:t>3</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新建、改建、扩建、大修、运营维护、拆除、重建的各等级道路工程的设计方案宜进行低碳比选与优化。</w:t>
      </w:r>
    </w:p>
    <w:p>
      <w:pPr>
        <w:spacing w:line="240" w:lineRule="auto"/>
        <w:rPr>
          <w:szCs w:val="21"/>
        </w:rPr>
      </w:pPr>
      <w:bookmarkStart w:id="77" w:name="OLE_LINK116"/>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8</w:t>
      </w:r>
      <w:r>
        <w:rPr>
          <w:szCs w:val="21"/>
        </w:rPr>
        <w:t xml:space="preserve">  </w:t>
      </w:r>
      <w:r>
        <w:rPr>
          <w:rFonts w:hint="eastAsia"/>
          <w:szCs w:val="21"/>
        </w:rPr>
        <w:t>可行性研究阶段</w:t>
      </w:r>
      <w:bookmarkEnd w:id="77"/>
      <w:bookmarkStart w:id="78" w:name="OLE_LINK117"/>
      <w:r>
        <w:rPr>
          <w:rFonts w:hint="eastAsia"/>
          <w:szCs w:val="21"/>
        </w:rPr>
        <w:t>侧重描述项目</w:t>
      </w:r>
      <w:bookmarkEnd w:id="78"/>
      <w:r>
        <w:rPr>
          <w:rFonts w:hint="eastAsia"/>
          <w:szCs w:val="21"/>
        </w:rPr>
        <w:t>背景、功能定位、技术工艺方案、选址与建设工程方案、项目估算总投资、全寿命周期建设及运营维护管理分析、环境影响分析、社会效益评价等内容，道路工程低碳设计应分析评估碳排放控制措施对上述内容的影响。</w:t>
      </w:r>
    </w:p>
    <w:p>
      <w:pPr>
        <w:spacing w:line="240" w:lineRule="auto"/>
        <w:rPr>
          <w:szCs w:val="21"/>
        </w:rPr>
      </w:pPr>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9</w:t>
      </w:r>
      <w:r>
        <w:rPr>
          <w:szCs w:val="21"/>
        </w:rPr>
        <w:t xml:space="preserve">  </w:t>
      </w:r>
      <w:bookmarkStart w:id="79" w:name="OLE_LINK118"/>
      <w:bookmarkStart w:id="80" w:name="OLE_LINK119"/>
      <w:r>
        <w:rPr>
          <w:rFonts w:hint="eastAsia"/>
          <w:szCs w:val="21"/>
        </w:rPr>
        <w:t>初步设计阶段</w:t>
      </w:r>
      <w:bookmarkEnd w:id="79"/>
      <w:bookmarkEnd w:id="80"/>
      <w:r>
        <w:rPr>
          <w:rFonts w:hint="eastAsia"/>
          <w:szCs w:val="21"/>
        </w:rPr>
        <w:t>侧重描述项目区位、</w:t>
      </w:r>
      <w:bookmarkStart w:id="81" w:name="OLE_LINK120"/>
      <w:r>
        <w:rPr>
          <w:rFonts w:hint="eastAsia"/>
          <w:szCs w:val="21"/>
        </w:rPr>
        <w:t>建设条件、</w:t>
      </w:r>
      <w:bookmarkEnd w:id="81"/>
      <w:r>
        <w:rPr>
          <w:rFonts w:hint="eastAsia"/>
          <w:szCs w:val="21"/>
        </w:rPr>
        <w:t>设计理念及控制因素、设计方案比选、专项设计、节能环保措施，</w:t>
      </w:r>
      <w:bookmarkStart w:id="82" w:name="OLE_LINK121"/>
      <w:r>
        <w:rPr>
          <w:rFonts w:hint="eastAsia"/>
          <w:szCs w:val="21"/>
        </w:rPr>
        <w:t>主体工程和各分项工程的工程数量、材料数量及设备数量，设计概算、</w:t>
      </w:r>
      <w:bookmarkEnd w:id="82"/>
      <w:r>
        <w:rPr>
          <w:rFonts w:hint="eastAsia"/>
          <w:szCs w:val="21"/>
        </w:rPr>
        <w:t>控制建设项目投资等内容，道路工程低碳设计应分析评估碳排放控制措施对上述内容的影响。</w:t>
      </w:r>
    </w:p>
    <w:p>
      <w:pPr>
        <w:spacing w:line="240" w:lineRule="auto"/>
        <w:rPr>
          <w:szCs w:val="21"/>
        </w:rPr>
      </w:pPr>
      <w:bookmarkStart w:id="83" w:name="OLE_LINK123"/>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10</w:t>
      </w:r>
      <w:r>
        <w:rPr>
          <w:szCs w:val="21"/>
        </w:rPr>
        <w:t xml:space="preserve">  </w:t>
      </w:r>
      <w:bookmarkEnd w:id="83"/>
      <w:r>
        <w:rPr>
          <w:rFonts w:hint="eastAsia"/>
          <w:szCs w:val="21"/>
        </w:rPr>
        <w:t>施工图设计阶段侧重描述项目区位、工程规模、建设条件、技术标准、道路平面、纵断面和横断面设计、交叉设计、路基设计、路面设计、人行系统及附属设计、公交设施设计、道路相关设施布置、专项设计、节能及环保设计、施工期交通疏解组织设计、施工技术要求及注意事项，主体工程和各分项工程的工程数量、材料数量及设备数量，施工图预算等内容，道路工程低碳设计应分析评估碳排放控制措施对上述内容的影响。</w:t>
      </w:r>
    </w:p>
    <w:p>
      <w:pPr>
        <w:pStyle w:val="4"/>
        <w:spacing w:before="240" w:after="240" w:line="240" w:lineRule="auto"/>
        <w:jc w:val="center"/>
        <w:rPr>
          <w:rFonts w:ascii="黑体" w:hAnsi="黑体" w:eastAsia="黑体"/>
          <w:b w:val="0"/>
          <w:sz w:val="21"/>
          <w:szCs w:val="21"/>
        </w:rPr>
      </w:pPr>
      <w:bookmarkStart w:id="84" w:name="_Toc160030717"/>
      <w:bookmarkStart w:id="85" w:name="_Toc160032804"/>
      <w:bookmarkStart w:id="86" w:name="_Toc161134661"/>
      <w:bookmarkStart w:id="87" w:name="_Toc160030979"/>
      <w:r>
        <w:rPr>
          <w:rFonts w:ascii="Times New Roman" w:hAnsi="Times New Roman"/>
          <w:sz w:val="21"/>
          <w:szCs w:val="21"/>
        </w:rPr>
        <w:t>3</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碳排放指标体系</w:t>
      </w:r>
      <w:bookmarkEnd w:id="84"/>
      <w:bookmarkEnd w:id="85"/>
      <w:bookmarkEnd w:id="86"/>
      <w:bookmarkEnd w:id="87"/>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材料生产应考虑以下因素：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材料生产碳排放包括水泥、钢材、沥青、砂石料等从原材料开采、生产、加工、贮存、完成养护等产生的碳排放，以及材料回收及循环利用的碳排放；</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材料生产</w:t>
      </w:r>
      <w:bookmarkStart w:id="88" w:name="OLE_LINK45"/>
      <w:bookmarkStart w:id="89" w:name="OLE_LINK52"/>
      <w:r>
        <w:rPr>
          <w:rFonts w:hint="eastAsia"/>
          <w:szCs w:val="21"/>
        </w:rPr>
        <w:t>消耗能源类型包括煤、油（柴油、汽油、重油）、天然气、电力等</w:t>
      </w:r>
      <w:bookmarkEnd w:id="88"/>
      <w:bookmarkEnd w:id="89"/>
      <w:r>
        <w:rPr>
          <w:rFonts w:hint="eastAsia"/>
          <w:szCs w:val="21"/>
        </w:rPr>
        <w:t>；</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对于</w:t>
      </w:r>
      <w:r>
        <w:rPr>
          <w:rFonts w:hint="eastAsia"/>
          <w:szCs w:val="21"/>
        </w:rPr>
        <w:t>道路工程施工现场以外的材料生产碳排放属于间接碳排放；</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材料生产是道路工程建造全过程中碳排放最高的环节，道路工程低碳设计需减少材料生产的碳排放；</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废旧路面、建筑垃圾、工业固废、拆除产生的资源化利用材料，按照设计配合比计算道路工程建设材料碳排放。</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材料运输应考虑以下因素：</w:t>
      </w:r>
    </w:p>
    <w:p>
      <w:pPr>
        <w:spacing w:line="240" w:lineRule="auto"/>
        <w:ind w:firstLine="421" w:firstLineChars="200"/>
        <w:rPr>
          <w:bCs/>
          <w:szCs w:val="21"/>
        </w:rPr>
      </w:pPr>
      <w:bookmarkStart w:id="90" w:name="OLE_LINK11"/>
      <w:r>
        <w:rPr>
          <w:b/>
          <w:bCs/>
          <w:szCs w:val="21"/>
        </w:rPr>
        <w:t>1</w:t>
      </w:r>
      <w:r>
        <w:rPr>
          <w:rFonts w:hint="eastAsia"/>
          <w:szCs w:val="21"/>
        </w:rPr>
        <w:t xml:space="preserve"> </w:t>
      </w:r>
      <w:r>
        <w:rPr>
          <w:szCs w:val="21"/>
        </w:rPr>
        <w:t xml:space="preserve"> </w:t>
      </w:r>
      <w:bookmarkEnd w:id="90"/>
      <w:r>
        <w:rPr>
          <w:rFonts w:hint="eastAsia"/>
          <w:bCs/>
          <w:szCs w:val="21"/>
        </w:rPr>
        <w:t>材料运输碳排放包括材料和构件等自来源地运输至工地或指定堆放地点，以及自工地贮存仓库、现场集中堆放地点或现场加工地点运输至现场施工地点的碳排放；</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材料运输方式包括货车运输、电力机车运输、货船运输等；</w:t>
      </w:r>
    </w:p>
    <w:p>
      <w:pPr>
        <w:spacing w:line="240" w:lineRule="auto"/>
        <w:ind w:firstLine="421" w:firstLineChars="200"/>
        <w:rPr>
          <w:szCs w:val="21"/>
        </w:rPr>
      </w:pPr>
      <w:bookmarkStart w:id="91" w:name="OLE_LINK141"/>
      <w:r>
        <w:rPr>
          <w:rFonts w:hint="eastAsia"/>
          <w:b/>
          <w:bCs/>
          <w:szCs w:val="21"/>
        </w:rPr>
        <w:t>3</w:t>
      </w:r>
      <w:r>
        <w:rPr>
          <w:rFonts w:hint="eastAsia"/>
          <w:szCs w:val="21"/>
        </w:rPr>
        <w:t xml:space="preserve"> </w:t>
      </w:r>
      <w:r>
        <w:rPr>
          <w:szCs w:val="21"/>
        </w:rPr>
        <w:t xml:space="preserve"> </w:t>
      </w:r>
      <w:bookmarkEnd w:id="91"/>
      <w:r>
        <w:rPr>
          <w:rFonts w:hint="eastAsia"/>
          <w:szCs w:val="21"/>
        </w:rPr>
        <w:t>材料和构件等运输至施工现场产生的碳排放计入材料运输产生的碳排放量；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机械设备、材料及构件在施工现场的其他运输产生的碳排放计入施工阶段碳排放量。</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施工应考虑以下因素：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bookmarkStart w:id="92" w:name="OLE_LINK148"/>
      <w:bookmarkStart w:id="93" w:name="OLE_LINK149"/>
      <w:r>
        <w:rPr>
          <w:rFonts w:hint="eastAsia"/>
          <w:bCs/>
          <w:szCs w:val="21"/>
        </w:rPr>
        <w:t>道路工程施工碳排放</w:t>
      </w:r>
      <w:bookmarkEnd w:id="92"/>
      <w:bookmarkEnd w:id="93"/>
      <w:r>
        <w:rPr>
          <w:rFonts w:hint="eastAsia"/>
          <w:bCs/>
          <w:szCs w:val="21"/>
        </w:rPr>
        <w:t>包括机械设备、小型机具、临时设施使用产生的碳排放；</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施工消耗能源类型包括煤、油（柴油、汽油、重油）、天然气、电力等；</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道路施工碳排放包括临时工程、清表清淤、土石方、路基、路面、排水、支排水管、管线、交通标志标线和景观绿化等相关活动产生碳排放；</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桥梁施工碳排放包括下部结构、上部结构、基础工程、桥面铺装及附属结构等相关活动产生碳排放；</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隧道施工碳排放包括超前支护、洞身开挖、围岩支护、二次衬砌、防排水、路面、装饰和通风照明等相关活动产生碳排放；</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策划、设计、采购、管理、财务等所产生的碳排放归纳为施工的其他直接碳排放，不计入道路工程碳排放的统计；</w:t>
      </w:r>
    </w:p>
    <w:p>
      <w:pPr>
        <w:spacing w:line="240" w:lineRule="auto"/>
        <w:ind w:firstLine="421" w:firstLineChars="200"/>
        <w:rPr>
          <w:szCs w:val="21"/>
        </w:rPr>
      </w:pPr>
      <w:bookmarkStart w:id="94" w:name="OLE_LINK12"/>
      <w:r>
        <w:rPr>
          <w:rFonts w:hint="eastAsia"/>
          <w:b/>
          <w:bCs/>
          <w:szCs w:val="21"/>
        </w:rPr>
        <w:t>7</w:t>
      </w:r>
      <w:r>
        <w:rPr>
          <w:rFonts w:hint="eastAsia"/>
          <w:szCs w:val="21"/>
        </w:rPr>
        <w:t xml:space="preserve"> </w:t>
      </w:r>
      <w:r>
        <w:rPr>
          <w:szCs w:val="21"/>
        </w:rPr>
        <w:t xml:space="preserve"> </w:t>
      </w:r>
      <w:bookmarkEnd w:id="94"/>
      <w:r>
        <w:rPr>
          <w:rFonts w:hint="eastAsia"/>
          <w:szCs w:val="21"/>
        </w:rPr>
        <w:t>施工使用的办公用房、生活居住房屋、公用房屋、生产用房屋和材料库房等临时设施的建设，纳入道路工程施工碳排放的统计；</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临时设施被改造为永久设施，对原有结构进行重建或升级，计入道路工程施工碳排放的统计。</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运营维护应考虑以下因素：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运营维护碳排放包括道路工程的日常使用及维护、养护、改造和巡查等产生的碳排放；</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光伏发电等可再生能源利用按照《建筑碳排放计算标准》GB/T 51366的要求予以扣除相应的碳排放量；</w:t>
      </w:r>
    </w:p>
    <w:p>
      <w:pPr>
        <w:spacing w:line="240" w:lineRule="auto"/>
        <w:ind w:firstLine="421" w:firstLineChars="200"/>
        <w:rPr>
          <w:rFonts w:cs="宋体"/>
          <w:szCs w:val="21"/>
        </w:rPr>
      </w:pPr>
      <w:r>
        <w:rPr>
          <w:rFonts w:hint="eastAsia"/>
          <w:b/>
          <w:bCs/>
          <w:szCs w:val="21"/>
        </w:rPr>
        <w:t>3</w:t>
      </w:r>
      <w:r>
        <w:rPr>
          <w:rFonts w:hint="eastAsia"/>
          <w:szCs w:val="21"/>
        </w:rPr>
        <w:t xml:space="preserve"> </w:t>
      </w:r>
      <w:r>
        <w:rPr>
          <w:szCs w:val="21"/>
        </w:rPr>
        <w:t xml:space="preserve"> 运营维护附属设施中房屋建筑按照</w:t>
      </w:r>
      <w:r>
        <w:rPr>
          <w:rFonts w:hint="eastAsia" w:cs="宋体"/>
          <w:szCs w:val="21"/>
        </w:rPr>
        <w:t>《建筑碳排放计算标准》GB/T 51366的要求计算碳排放；</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日常养护、预防养护、专项养护等活动，按具体项目统计相关消耗数据</w:t>
      </w:r>
      <w:r>
        <w:rPr>
          <w:rFonts w:hint="eastAsia"/>
          <w:szCs w:val="21"/>
        </w:rPr>
        <w:t>。</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拆除应考虑以下因素：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道路工程拆除碳排放包括废弃物产生、废弃物现场管理、废弃物运输、废弃物处置处理等产生的碳排放；</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废弃物的清理、收集、分拣、分类、运输、回收、处理、循环利用等，计入道路工程拆除碳排放的统计；</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旧路</w:t>
      </w:r>
      <w:r>
        <w:rPr>
          <w:szCs w:val="21"/>
        </w:rPr>
        <w:t>拆除、旧桥拆除、路面铣刨等活动，按具体项目统计相关消耗数据</w:t>
      </w:r>
      <w:r>
        <w:rPr>
          <w:rFonts w:hint="eastAsia"/>
          <w:szCs w:val="21"/>
        </w:rPr>
        <w:t>。</w:t>
      </w:r>
    </w:p>
    <w:p>
      <w:pPr>
        <w:spacing w:line="240" w:lineRule="auto"/>
        <w:rPr>
          <w:szCs w:val="21"/>
        </w:rPr>
      </w:pPr>
      <w:r>
        <w:rPr>
          <w:b/>
          <w:bCs/>
          <w:szCs w:val="21"/>
        </w:rPr>
        <w:t>3</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碳汇应考虑以下因素：</w:t>
      </w:r>
    </w:p>
    <w:p>
      <w:pPr>
        <w:spacing w:line="240" w:lineRule="auto"/>
        <w:ind w:firstLine="421" w:firstLineChars="200"/>
        <w:rPr>
          <w:szCs w:val="21"/>
        </w:rPr>
      </w:pPr>
      <w:r>
        <w:rPr>
          <w:b/>
          <w:bCs/>
          <w:szCs w:val="21"/>
        </w:rPr>
        <w:t>1</w:t>
      </w:r>
      <w:r>
        <w:rPr>
          <w:rFonts w:hint="eastAsia"/>
          <w:szCs w:val="21"/>
        </w:rPr>
        <w:t xml:space="preserve"> </w:t>
      </w:r>
      <w:r>
        <w:rPr>
          <w:szCs w:val="21"/>
        </w:rPr>
        <w:t xml:space="preserve"> </w:t>
      </w:r>
      <w:bookmarkStart w:id="95" w:name="OLE_LINK152"/>
      <w:r>
        <w:rPr>
          <w:szCs w:val="21"/>
        </w:rPr>
        <w:t>碳汇统计在道路</w:t>
      </w:r>
      <w:bookmarkStart w:id="96" w:name="OLE_LINK153"/>
      <w:r>
        <w:rPr>
          <w:szCs w:val="21"/>
        </w:rPr>
        <w:t>建设和管理范围内</w:t>
      </w:r>
      <w:bookmarkEnd w:id="96"/>
      <w:r>
        <w:rPr>
          <w:szCs w:val="21"/>
        </w:rPr>
        <w:t>的绿植固碳量；</w:t>
      </w:r>
      <w:bookmarkEnd w:id="95"/>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收集植被种类、栽种量、栽种面积、单位时间单位面积的固碳量等资料综合评估碳汇量；</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bookmarkStart w:id="97" w:name="OLE_LINK154"/>
      <w:r>
        <w:rPr>
          <w:rFonts w:hint="eastAsia"/>
          <w:bCs/>
          <w:szCs w:val="21"/>
        </w:rPr>
        <w:t>对道路工程的中分带、侧分带、行道树、绿化带、边坡等区域的植被及附属设施（包括建筑、农田等）进行碳汇量叠加估算。</w:t>
      </w:r>
      <w:bookmarkEnd w:id="97"/>
    </w:p>
    <w:p>
      <w:pPr>
        <w:pStyle w:val="4"/>
        <w:spacing w:before="240" w:after="240" w:line="240" w:lineRule="auto"/>
        <w:jc w:val="center"/>
        <w:rPr>
          <w:rFonts w:ascii="黑体" w:hAnsi="黑体" w:eastAsia="黑体"/>
          <w:b w:val="0"/>
          <w:sz w:val="21"/>
          <w:szCs w:val="21"/>
        </w:rPr>
      </w:pPr>
      <w:r>
        <w:rPr>
          <w:rFonts w:ascii="Times New Roman" w:hAnsi="Times New Roman"/>
          <w:sz w:val="21"/>
          <w:szCs w:val="21"/>
        </w:rPr>
        <w:t>3</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低碳道路技术要点</w:t>
      </w:r>
    </w:p>
    <w:p>
      <w:pPr>
        <w:spacing w:line="240" w:lineRule="auto"/>
        <w:rPr>
          <w:szCs w:val="21"/>
        </w:rPr>
      </w:pPr>
      <w:bookmarkStart w:id="98" w:name="OLE_LINK112"/>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bookmarkEnd w:id="98"/>
      <w:r>
        <w:rPr>
          <w:szCs w:val="21"/>
        </w:rPr>
        <w:t>在满足功能、质量、安全要求的基础上，围绕生态环保、绿色低碳</w:t>
      </w:r>
      <w:r>
        <w:rPr>
          <w:rFonts w:hint="eastAsia"/>
          <w:szCs w:val="21"/>
        </w:rPr>
        <w:t>等</w:t>
      </w:r>
      <w:r>
        <w:rPr>
          <w:szCs w:val="21"/>
        </w:rPr>
        <w:t>方面，应合理选用道路工程的标准及灵活运用技术指标</w:t>
      </w:r>
      <w:r>
        <w:rPr>
          <w:rFonts w:hint="eastAsia"/>
          <w:szCs w:val="21"/>
        </w:rPr>
        <w:t>。</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道路工程应</w:t>
      </w:r>
      <w:r>
        <w:rPr>
          <w:rFonts w:hint="eastAsia"/>
          <w:szCs w:val="21"/>
        </w:rPr>
        <w:t>建立涵盖设计、施工全过程一体化设计机制，实现材料生产、材料运输、施工、运营维护、拆除等各方的前置参与，统筹管理项目方案设计、初步设计和施工图设计。</w:t>
      </w:r>
    </w:p>
    <w:p>
      <w:pPr>
        <w:spacing w:line="240" w:lineRule="auto"/>
        <w:rPr>
          <w:szCs w:val="21"/>
        </w:rPr>
      </w:pPr>
      <w:bookmarkStart w:id="99" w:name="OLE_LINK22"/>
      <w:bookmarkStart w:id="100" w:name="OLE_LINK21"/>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bookmarkEnd w:id="99"/>
      <w:bookmarkEnd w:id="100"/>
      <w:r>
        <w:rPr>
          <w:szCs w:val="21"/>
        </w:rPr>
        <w:t>道路工程应</w:t>
      </w:r>
      <w:r>
        <w:rPr>
          <w:rFonts w:hint="eastAsia"/>
          <w:szCs w:val="21"/>
        </w:rPr>
        <w:t>推进道路、桥梁、隧道、市政管线、机电、景观、海绵城市等全专业系统化协同设计，实施标准化、模块化设计，并积极应用新技术。</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道路工程应结合材料生产、运输和施工工艺要求，对道路工程重点、难点部位和复杂节点等进行深化设计，并对危险性较大和工序复杂的方案进行三维模拟和可视化交底。</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道路工程全寿命周期内，材料生产、材料运输、施工、运营维护、拆除阶段的应使用可再生能源。</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道路工程低碳设计应通过地理信息系统（GIS）和建筑信息模型（BIM）技术比选方案，减少填挖方和生态破坏，合理避让生态敏感区。</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道路工程低碳设计应</w:t>
      </w:r>
      <w:r>
        <w:rPr>
          <w:rFonts w:hint="eastAsia"/>
          <w:szCs w:val="21"/>
        </w:rPr>
        <w:t>选择环保、绿色、低碳、新型的材料，包括沥青混合料掺和再生骨料、水泥混凝土利用工业固废、桥梁主体结构应用超高性能混凝土等，其中可再利用材料和可再循环材料的使用比例不低于所耗材料总重量的10%。</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道路工程</w:t>
      </w:r>
      <w:r>
        <w:rPr>
          <w:rFonts w:hint="eastAsia"/>
          <w:szCs w:val="21"/>
        </w:rPr>
        <w:t>宜</w:t>
      </w:r>
      <w:r>
        <w:rPr>
          <w:szCs w:val="21"/>
        </w:rPr>
        <w:t>应用利废建材，其中采用一种利废建材时，其占同类建材的用量比例不低于</w:t>
      </w:r>
      <w:r>
        <w:rPr>
          <w:rFonts w:hint="eastAsia"/>
          <w:szCs w:val="21"/>
        </w:rPr>
        <w:t>50%；选用两种及以上利废建材时，每一种占同类建材的用量比例均不低于20%。</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道路工程低碳设计应选择本地建设材料供应商，其中施工现场500km以内生产的建设材料及设备重量占建设材料及设备总重量的比例不低于70%，砂石料等大宗材料运输平均距离小于100km，新能源车辆数量占运输车辆总量的比例不低于60%。</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道路工程低碳设计应统筹确定各类建材及机械设备的设计使用年限。</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11</w:t>
      </w:r>
      <w:r>
        <w:rPr>
          <w:rFonts w:hint="eastAsia"/>
          <w:szCs w:val="21"/>
        </w:rPr>
        <w:t xml:space="preserve"> </w:t>
      </w:r>
      <w:r>
        <w:rPr>
          <w:szCs w:val="21"/>
        </w:rPr>
        <w:t xml:space="preserve"> </w:t>
      </w:r>
      <w:bookmarkStart w:id="101" w:name="OLE_LINK156"/>
      <w:r>
        <w:rPr>
          <w:rFonts w:hint="eastAsia"/>
          <w:szCs w:val="21"/>
        </w:rPr>
        <w:t>道路工程低碳设计</w:t>
      </w:r>
      <w:bookmarkEnd w:id="101"/>
      <w:r>
        <w:rPr>
          <w:rFonts w:hint="eastAsia"/>
          <w:szCs w:val="21"/>
        </w:rPr>
        <w:t>应采用温拌沥青技术（特殊路段需专项论证）、预制装配及建筑垃圾回收工艺。</w:t>
      </w:r>
    </w:p>
    <w:p>
      <w:pPr>
        <w:spacing w:line="240" w:lineRule="auto"/>
        <w:rPr>
          <w:szCs w:val="21"/>
        </w:rPr>
      </w:pPr>
      <w:r>
        <w:rPr>
          <w:b/>
          <w:bCs/>
          <w:szCs w:val="21"/>
        </w:rPr>
        <w:t>3</w:t>
      </w:r>
      <w:r>
        <w:rPr>
          <w:rFonts w:hint="eastAsia" w:ascii="宋体" w:hAnsi="宋体"/>
          <w:b/>
          <w:bCs/>
          <w:szCs w:val="21"/>
        </w:rPr>
        <w:t>.</w:t>
      </w:r>
      <w:r>
        <w:rPr>
          <w:rFonts w:hint="eastAsia"/>
          <w:b/>
          <w:bCs/>
          <w:szCs w:val="21"/>
        </w:rPr>
        <w:t>1</w:t>
      </w:r>
      <w:r>
        <w:rPr>
          <w:rFonts w:hint="eastAsia" w:ascii="宋体" w:hAnsi="宋体"/>
          <w:b/>
          <w:bCs/>
          <w:szCs w:val="21"/>
        </w:rPr>
        <w:t>.</w:t>
      </w:r>
      <w:r>
        <w:rPr>
          <w:rFonts w:hint="eastAsia"/>
          <w:b/>
          <w:bCs/>
          <w:szCs w:val="21"/>
        </w:rPr>
        <w:t>12</w:t>
      </w:r>
      <w:r>
        <w:rPr>
          <w:szCs w:val="21"/>
        </w:rPr>
        <w:t xml:space="preserve">  </w:t>
      </w:r>
      <w:r>
        <w:rPr>
          <w:rFonts w:hint="eastAsia"/>
          <w:szCs w:val="21"/>
        </w:rPr>
        <w:t>道路工程低碳设计应</w:t>
      </w:r>
      <w:r>
        <w:rPr>
          <w:szCs w:val="21"/>
        </w:rPr>
        <w:t>在</w:t>
      </w:r>
      <w:r>
        <w:rPr>
          <w:rFonts w:hint="eastAsia"/>
          <w:szCs w:val="21"/>
        </w:rPr>
        <w:t>可行性研究、初步设计、施工图设计阶段明确装配式技术的应用要求，并</w:t>
      </w:r>
      <w:r>
        <w:rPr>
          <w:szCs w:val="21"/>
        </w:rPr>
        <w:t>逐步提高道路工程的预制装配率和标准化水平</w:t>
      </w:r>
      <w:r>
        <w:rPr>
          <w:rFonts w:hint="eastAsia"/>
          <w:szCs w:val="21"/>
        </w:rPr>
        <w:t>。</w:t>
      </w:r>
    </w:p>
    <w:p>
      <w:pPr>
        <w:widowControl/>
        <w:spacing w:line="240" w:lineRule="auto"/>
        <w:jc w:val="left"/>
        <w:rPr>
          <w:bCs/>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13</w:t>
      </w:r>
      <w:r>
        <w:rPr>
          <w:rFonts w:hint="eastAsia"/>
          <w:szCs w:val="21"/>
        </w:rPr>
        <w:t xml:space="preserve"> </w:t>
      </w:r>
      <w:r>
        <w:rPr>
          <w:szCs w:val="21"/>
        </w:rPr>
        <w:t xml:space="preserve"> 道路工程</w:t>
      </w:r>
      <w:r>
        <w:rPr>
          <w:rFonts w:hint="eastAsia"/>
          <w:szCs w:val="21"/>
        </w:rPr>
        <w:t>低碳设计应控制</w:t>
      </w:r>
      <w:r>
        <w:rPr>
          <w:rFonts w:hint="eastAsia"/>
          <w:bCs/>
          <w:szCs w:val="21"/>
        </w:rPr>
        <w:t>单位工程单位长度的用电量、用水量。</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14</w:t>
      </w:r>
      <w:r>
        <w:rPr>
          <w:rFonts w:hint="eastAsia"/>
          <w:szCs w:val="21"/>
        </w:rPr>
        <w:t xml:space="preserve"> </w:t>
      </w:r>
      <w:r>
        <w:rPr>
          <w:szCs w:val="21"/>
        </w:rPr>
        <w:t xml:space="preserve"> 道路工程</w:t>
      </w:r>
      <w:r>
        <w:rPr>
          <w:rFonts w:hint="eastAsia"/>
          <w:szCs w:val="21"/>
        </w:rPr>
        <w:t>低碳设计</w:t>
      </w:r>
      <w:r>
        <w:rPr>
          <w:szCs w:val="21"/>
        </w:rPr>
        <w:t>应</w:t>
      </w:r>
      <w:r>
        <w:rPr>
          <w:rFonts w:hint="eastAsia"/>
          <w:szCs w:val="21"/>
        </w:rPr>
        <w:t>科学布设施工作业区、办公区和生活区，保证料场、拌合站及运输道路的紧凑集约布局。</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15</w:t>
      </w:r>
      <w:r>
        <w:rPr>
          <w:rFonts w:hint="eastAsia"/>
          <w:szCs w:val="21"/>
        </w:rPr>
        <w:t xml:space="preserve"> </w:t>
      </w:r>
      <w:r>
        <w:rPr>
          <w:szCs w:val="21"/>
        </w:rPr>
        <w:t xml:space="preserve"> </w:t>
      </w:r>
      <w:r>
        <w:rPr>
          <w:rFonts w:hint="eastAsia"/>
          <w:szCs w:val="21"/>
        </w:rPr>
        <w:t>道路工程施工阶段应制定绿色施工方案，应用预制装配式结构，实施废弃物综合利用，优先选用再生材料、绿色建材等。</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16</w:t>
      </w:r>
      <w:r>
        <w:rPr>
          <w:rFonts w:hint="eastAsia"/>
          <w:szCs w:val="21"/>
        </w:rPr>
        <w:t xml:space="preserve"> </w:t>
      </w:r>
      <w:r>
        <w:rPr>
          <w:szCs w:val="21"/>
        </w:rPr>
        <w:t xml:space="preserve"> 道路工程</w:t>
      </w:r>
      <w:r>
        <w:rPr>
          <w:rFonts w:hint="eastAsia"/>
          <w:szCs w:val="21"/>
        </w:rPr>
        <w:t>运营维护阶段应</w:t>
      </w:r>
      <w:r>
        <w:rPr>
          <w:rFonts w:hint="eastAsia" w:cs="宋体"/>
          <w:szCs w:val="21"/>
        </w:rPr>
        <w:t>采用高效的养护方式</w:t>
      </w:r>
      <w:r>
        <w:rPr>
          <w:rFonts w:hint="eastAsia"/>
          <w:szCs w:val="21"/>
        </w:rPr>
        <w:t>，</w:t>
      </w:r>
      <w:r>
        <w:rPr>
          <w:rFonts w:hint="eastAsia" w:cs="宋体"/>
          <w:szCs w:val="21"/>
        </w:rPr>
        <w:t>提升道路整体服役性能</w:t>
      </w:r>
      <w:r>
        <w:rPr>
          <w:szCs w:val="21"/>
        </w:rPr>
        <w:t>。</w:t>
      </w:r>
    </w:p>
    <w:p>
      <w:pPr>
        <w:widowControl/>
        <w:spacing w:line="240" w:lineRule="auto"/>
        <w:jc w:val="left"/>
        <w:rPr>
          <w:rFonts w:cs="宋体"/>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17</w:t>
      </w:r>
      <w:r>
        <w:rPr>
          <w:rFonts w:hint="eastAsia"/>
          <w:szCs w:val="21"/>
        </w:rPr>
        <w:t xml:space="preserve"> </w:t>
      </w:r>
      <w:r>
        <w:rPr>
          <w:szCs w:val="21"/>
        </w:rPr>
        <w:t xml:space="preserve"> 道路工程</w:t>
      </w:r>
      <w:r>
        <w:rPr>
          <w:rFonts w:hint="eastAsia"/>
          <w:szCs w:val="21"/>
        </w:rPr>
        <w:t>运营维护阶段应</w:t>
      </w:r>
      <w:r>
        <w:rPr>
          <w:rFonts w:hint="eastAsia" w:cs="宋体"/>
          <w:szCs w:val="21"/>
        </w:rPr>
        <w:t>采用高效的低碳节能技术。</w:t>
      </w:r>
    </w:p>
    <w:p>
      <w:pPr>
        <w:widowControl/>
        <w:spacing w:line="240" w:lineRule="auto"/>
        <w:jc w:val="left"/>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18</w:t>
      </w:r>
      <w:r>
        <w:rPr>
          <w:rFonts w:hint="eastAsia"/>
          <w:szCs w:val="21"/>
        </w:rPr>
        <w:t xml:space="preserve"> </w:t>
      </w:r>
      <w:r>
        <w:rPr>
          <w:szCs w:val="21"/>
        </w:rPr>
        <w:t xml:space="preserve"> 道路工程</w:t>
      </w:r>
      <w:r>
        <w:rPr>
          <w:rFonts w:hint="eastAsia"/>
          <w:szCs w:val="21"/>
        </w:rPr>
        <w:t>运营维护阶段应在交通节点和关键路段增加智能交通设备，包括智能红绿灯、动态导向标志等，并通过实时数据和交通模型自动感知和响应不同交通模式的需求，提高交通系统的管理和控制能力。</w:t>
      </w:r>
    </w:p>
    <w:p>
      <w:pPr>
        <w:spacing w:line="240" w:lineRule="auto"/>
        <w:rPr>
          <w:b/>
          <w:bCs/>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19</w:t>
      </w:r>
      <w:r>
        <w:rPr>
          <w:rFonts w:hint="eastAsia"/>
          <w:szCs w:val="21"/>
        </w:rPr>
        <w:t xml:space="preserve"> </w:t>
      </w:r>
      <w:r>
        <w:rPr>
          <w:szCs w:val="21"/>
        </w:rPr>
        <w:t xml:space="preserve"> 道路工程</w:t>
      </w:r>
      <w:r>
        <w:rPr>
          <w:rFonts w:hint="eastAsia"/>
          <w:szCs w:val="21"/>
        </w:rPr>
        <w:t>拆除阶段应制定详细的拆除计划，</w:t>
      </w:r>
      <w:r>
        <w:rPr>
          <w:rFonts w:hint="eastAsia" w:cs="宋体"/>
          <w:szCs w:val="21"/>
        </w:rPr>
        <w:t>对可回收的资源进行分类、分拣和回收利用</w:t>
      </w:r>
      <w:r>
        <w:rPr>
          <w:rFonts w:hint="eastAsia"/>
          <w:szCs w:val="21"/>
        </w:rPr>
        <w:t>，其中拆除过程中产生的材料综合回收利用率不低于85</w:t>
      </w:r>
      <w:r>
        <w:rPr>
          <w:szCs w:val="21"/>
        </w:rPr>
        <w:t>%。</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20</w:t>
      </w:r>
      <w:r>
        <w:rPr>
          <w:rFonts w:hint="eastAsia"/>
          <w:szCs w:val="21"/>
        </w:rPr>
        <w:t xml:space="preserve"> </w:t>
      </w:r>
      <w:r>
        <w:rPr>
          <w:szCs w:val="21"/>
        </w:rPr>
        <w:t xml:space="preserve"> </w:t>
      </w:r>
      <w:r>
        <w:rPr>
          <w:rFonts w:hint="eastAsia"/>
          <w:szCs w:val="21"/>
        </w:rPr>
        <w:t>道路工程低碳设计应合理</w:t>
      </w:r>
      <w:r>
        <w:rPr>
          <w:rFonts w:hint="eastAsia" w:cs="宋体"/>
          <w:szCs w:val="21"/>
        </w:rPr>
        <w:t>设置绿化带和植被覆盖区域，优先选用能够适应当地气候和土壤条件、具备长期存活特点的植物。</w:t>
      </w:r>
    </w:p>
    <w:p>
      <w:pPr>
        <w:spacing w:line="240" w:lineRule="auto"/>
        <w:rPr>
          <w:szCs w:val="21"/>
        </w:rPr>
      </w:pPr>
      <w:bookmarkStart w:id="102" w:name="OLE_LINK24"/>
      <w:bookmarkStart w:id="103" w:name="OLE_LINK62"/>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21</w:t>
      </w:r>
      <w:r>
        <w:rPr>
          <w:rFonts w:hint="eastAsia"/>
          <w:szCs w:val="21"/>
        </w:rPr>
        <w:t xml:space="preserve"> </w:t>
      </w:r>
      <w:r>
        <w:rPr>
          <w:szCs w:val="21"/>
        </w:rPr>
        <w:t xml:space="preserve"> </w:t>
      </w:r>
      <w:bookmarkEnd w:id="102"/>
      <w:bookmarkEnd w:id="103"/>
      <w:r>
        <w:rPr>
          <w:rFonts w:hint="eastAsia"/>
          <w:szCs w:val="21"/>
        </w:rPr>
        <w:t>对于用地紧张的现实情况，</w:t>
      </w:r>
      <w:r>
        <w:rPr>
          <w:szCs w:val="21"/>
        </w:rPr>
        <w:t>道路工程低碳设计应</w:t>
      </w:r>
      <w:r>
        <w:rPr>
          <w:rFonts w:hint="eastAsia"/>
          <w:szCs w:val="21"/>
        </w:rPr>
        <w:t>在高架桥、隔离栏、围墙及公交站等位置开展立体绿化。</w:t>
      </w:r>
    </w:p>
    <w:p>
      <w:pPr>
        <w:spacing w:line="240" w:lineRule="auto"/>
        <w:rPr>
          <w:szCs w:val="21"/>
        </w:rPr>
      </w:pPr>
      <w:r>
        <w:rPr>
          <w:b/>
          <w:bCs/>
          <w:szCs w:val="21"/>
        </w:rPr>
        <w:t>3</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22</w:t>
      </w:r>
      <w:r>
        <w:rPr>
          <w:rFonts w:hint="eastAsia"/>
          <w:szCs w:val="21"/>
        </w:rPr>
        <w:t xml:space="preserve"> </w:t>
      </w:r>
      <w:r>
        <w:rPr>
          <w:szCs w:val="21"/>
        </w:rPr>
        <w:t xml:space="preserve"> </w:t>
      </w:r>
      <w:bookmarkStart w:id="104" w:name="OLE_LINK71"/>
      <w:bookmarkStart w:id="105" w:name="OLE_LINK68"/>
      <w:r>
        <w:rPr>
          <w:szCs w:val="21"/>
        </w:rPr>
        <w:t>政府投资类道路工程项目全寿命周期碳排放评价，应</w:t>
      </w:r>
      <w:r>
        <w:rPr>
          <w:rFonts w:hint="eastAsia"/>
          <w:szCs w:val="21"/>
        </w:rPr>
        <w:t>由</w:t>
      </w:r>
      <w:r>
        <w:rPr>
          <w:szCs w:val="21"/>
        </w:rPr>
        <w:t>市级交通</w:t>
      </w:r>
      <w:r>
        <w:rPr>
          <w:rFonts w:hint="eastAsia"/>
          <w:bCs/>
          <w:szCs w:val="21"/>
        </w:rPr>
        <w:t>主管部门</w:t>
      </w:r>
      <w:r>
        <w:rPr>
          <w:rFonts w:hint="eastAsia"/>
          <w:szCs w:val="21"/>
        </w:rPr>
        <w:t>、</w:t>
      </w:r>
      <w:r>
        <w:rPr>
          <w:szCs w:val="21"/>
        </w:rPr>
        <w:t>区级交通管理局负责</w:t>
      </w:r>
      <w:r>
        <w:rPr>
          <w:rFonts w:hint="eastAsia"/>
          <w:bCs/>
          <w:szCs w:val="21"/>
        </w:rPr>
        <w:t>统筹，项目建设单位执行碳排放计算和评估工作，并组织具有工程咨询甲级或者环评乙级以上专业资质的第三方机构编制报告，经过低碳咨询专家组评审</w:t>
      </w:r>
      <w:bookmarkStart w:id="106" w:name="OLE_LINK173"/>
      <w:r>
        <w:rPr>
          <w:rFonts w:hint="eastAsia"/>
          <w:bCs/>
          <w:szCs w:val="21"/>
        </w:rPr>
        <w:t>通过后报主管部门备案</w:t>
      </w:r>
      <w:bookmarkEnd w:id="106"/>
      <w:r>
        <w:rPr>
          <w:rFonts w:hint="eastAsia"/>
          <w:bCs/>
          <w:szCs w:val="21"/>
        </w:rPr>
        <w:t>。</w:t>
      </w:r>
      <w:bookmarkEnd w:id="104"/>
      <w:bookmarkEnd w:id="105"/>
    </w:p>
    <w:p>
      <w:pPr>
        <w:spacing w:line="240" w:lineRule="auto"/>
        <w:rPr>
          <w:rFonts w:cs="宋体"/>
          <w:szCs w:val="21"/>
        </w:rPr>
      </w:pPr>
      <w:r>
        <w:rPr>
          <w:rFonts w:cs="宋体"/>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107" w:name="_Toc160032807"/>
      <w:bookmarkStart w:id="108" w:name="_Toc161134664"/>
      <w:bookmarkStart w:id="109" w:name="_Toc160030982"/>
      <w:bookmarkStart w:id="110" w:name="_Toc160030720"/>
      <w:r>
        <w:rPr>
          <w:rStyle w:val="19"/>
          <w:rFonts w:hint="eastAsia" w:ascii="Times New Roman" w:hAnsi="Times New Roman" w:cs="Times New Roman"/>
          <w:sz w:val="28"/>
          <w:szCs w:val="28"/>
        </w:rPr>
        <w:t>4</w:t>
      </w:r>
      <w:r>
        <w:rPr>
          <w:rStyle w:val="19"/>
          <w:rFonts w:hint="eastAsia" w:ascii="宋体" w:hAnsi="宋体"/>
          <w:sz w:val="28"/>
          <w:szCs w:val="28"/>
        </w:rPr>
        <w:t xml:space="preserve">  </w:t>
      </w:r>
      <w:r>
        <w:rPr>
          <w:rStyle w:val="19"/>
          <w:rFonts w:hint="eastAsia" w:ascii="宋体" w:hAnsi="宋体" w:eastAsia="宋体"/>
          <w:b w:val="0"/>
          <w:bCs w:val="0"/>
          <w:sz w:val="28"/>
          <w:szCs w:val="28"/>
        </w:rPr>
        <w:t>碳排放计算方法与流程</w:t>
      </w:r>
      <w:bookmarkEnd w:id="107"/>
      <w:bookmarkEnd w:id="108"/>
      <w:bookmarkEnd w:id="109"/>
      <w:bookmarkEnd w:id="110"/>
    </w:p>
    <w:p>
      <w:pPr>
        <w:pStyle w:val="4"/>
        <w:spacing w:before="240" w:after="240" w:line="240" w:lineRule="auto"/>
        <w:jc w:val="center"/>
        <w:rPr>
          <w:rFonts w:ascii="黑体" w:hAnsi="黑体" w:eastAsia="黑体"/>
          <w:b w:val="0"/>
          <w:sz w:val="21"/>
          <w:szCs w:val="21"/>
        </w:rPr>
      </w:pPr>
      <w:bookmarkStart w:id="111" w:name="_Toc160030721"/>
      <w:bookmarkStart w:id="112" w:name="_Toc160030983"/>
      <w:bookmarkStart w:id="113" w:name="_Toc160032808"/>
      <w:bookmarkStart w:id="114" w:name="_Toc161134665"/>
      <w:bookmarkStart w:id="115" w:name="OLE_LINK268"/>
      <w:bookmarkStart w:id="116" w:name="OLE_LINK269"/>
      <w:r>
        <w:rPr>
          <w:rFonts w:hint="eastAsia" w:ascii="Times New Roman" w:hAnsi="Times New Roman"/>
          <w:sz w:val="21"/>
          <w:szCs w:val="21"/>
        </w:rPr>
        <w:t>4</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bookmarkStart w:id="117" w:name="OLE_LINK159"/>
      <w:bookmarkStart w:id="118" w:name="OLE_LINK160"/>
      <w:bookmarkStart w:id="119" w:name="OLE_LINK72"/>
      <w:bookmarkStart w:id="120" w:name="OLE_LINK73"/>
      <w:r>
        <w:rPr>
          <w:rFonts w:hint="eastAsia"/>
          <w:szCs w:val="21"/>
        </w:rPr>
        <w:t>道路工程碳排放计算</w:t>
      </w:r>
      <w:bookmarkEnd w:id="117"/>
      <w:bookmarkEnd w:id="118"/>
      <w:r>
        <w:rPr>
          <w:rFonts w:hint="eastAsia"/>
          <w:szCs w:val="21"/>
        </w:rPr>
        <w:t>边界应覆盖项目建设全过程，从全寿命周期出发，核算与其有关的材料生产、材料运输、施工、运营维护、拆除等相关活动的温室气体排放量。</w:t>
      </w:r>
      <w:bookmarkEnd w:id="119"/>
      <w:bookmarkEnd w:id="120"/>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道路工程碳排放计算应</w:t>
      </w:r>
      <w:bookmarkStart w:id="121" w:name="OLE_LINK161"/>
      <w:r>
        <w:rPr>
          <w:rFonts w:hint="eastAsia"/>
          <w:szCs w:val="21"/>
        </w:rPr>
        <w:t>采用排放因子法</w:t>
      </w:r>
      <w:bookmarkEnd w:id="121"/>
      <w:r>
        <w:rPr>
          <w:rFonts w:hint="eastAsia"/>
          <w:szCs w:val="21"/>
        </w:rPr>
        <w:t>，并优先选用深圳市本地化的排放因子，如无本地数据则参考国家或行业标准中适用于深圳地区的排放因子。</w:t>
      </w:r>
    </w:p>
    <w:p>
      <w:pPr>
        <w:spacing w:line="240" w:lineRule="auto"/>
        <w:rPr>
          <w:szCs w:val="21"/>
        </w:rPr>
      </w:pPr>
      <w:bookmarkStart w:id="122" w:name="OLE_LINK79"/>
      <w:bookmarkStart w:id="123" w:name="OLE_LINK157"/>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bookmarkEnd w:id="122"/>
      <w:bookmarkEnd w:id="123"/>
      <w:r>
        <w:rPr>
          <w:rFonts w:hint="eastAsia"/>
          <w:szCs w:val="21"/>
        </w:rPr>
        <w:t>在道路工程工程可行性研究、初步设计和施工图设计阶段，碳排放计算应以建设项目的单项工程、单位工程、分部工程、分项工程及作业为基本单元，采集工程量清单以获取相关活动数据。</w:t>
      </w:r>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bookmarkStart w:id="124" w:name="OLE_LINK166"/>
      <w:r>
        <w:rPr>
          <w:rFonts w:hint="eastAsia"/>
          <w:szCs w:val="21"/>
        </w:rPr>
        <w:t>在道路工程</w:t>
      </w:r>
      <w:bookmarkStart w:id="125" w:name="OLE_LINK221"/>
      <w:bookmarkStart w:id="126" w:name="OLE_LINK220"/>
      <w:r>
        <w:rPr>
          <w:rFonts w:hint="eastAsia"/>
          <w:szCs w:val="21"/>
        </w:rPr>
        <w:t>竣工</w:t>
      </w:r>
      <w:bookmarkStart w:id="127" w:name="OLE_LINK158"/>
      <w:r>
        <w:rPr>
          <w:rFonts w:hint="eastAsia"/>
          <w:szCs w:val="21"/>
        </w:rPr>
        <w:t>结算与决算</w:t>
      </w:r>
      <w:bookmarkEnd w:id="125"/>
      <w:bookmarkEnd w:id="126"/>
      <w:bookmarkEnd w:id="127"/>
      <w:r>
        <w:rPr>
          <w:rFonts w:hint="eastAsia"/>
          <w:szCs w:val="21"/>
        </w:rPr>
        <w:t>阶段，道路工程碳排放计算应以竣工文件为依据，采集工程量清单、施工汇总表、结算与决算清单。</w:t>
      </w:r>
      <w:bookmarkEnd w:id="124"/>
    </w:p>
    <w:p>
      <w:pPr>
        <w:spacing w:line="240" w:lineRule="auto"/>
        <w:rPr>
          <w:szCs w:val="21"/>
        </w:rPr>
      </w:pPr>
      <w:r>
        <w:rPr>
          <w:rFonts w:hint="eastAsia"/>
          <w:b/>
          <w:bCs/>
          <w:szCs w:val="21"/>
        </w:rPr>
        <w:t>4</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道路工程碳排放计算结果可用于评估排放水平和减排潜力，并指导低碳设计。</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4</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计 算 方 法</w:t>
      </w:r>
      <w:bookmarkEnd w:id="111"/>
      <w:bookmarkEnd w:id="112"/>
      <w:bookmarkEnd w:id="113"/>
      <w:bookmarkEnd w:id="114"/>
    </w:p>
    <w:bookmarkEnd w:id="115"/>
    <w:bookmarkEnd w:id="116"/>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道路工程碳排放计算应收集并分析工程规划与设计图、投资估算文档、设计概算文档、施工图预算文档、</w:t>
      </w:r>
      <w:bookmarkStart w:id="128" w:name="OLE_LINK39"/>
      <w:bookmarkStart w:id="129" w:name="OLE_LINK42"/>
      <w:r>
        <w:rPr>
          <w:rFonts w:hint="eastAsia"/>
          <w:szCs w:val="21"/>
        </w:rPr>
        <w:t>竣工结算与决算</w:t>
      </w:r>
      <w:bookmarkEnd w:id="128"/>
      <w:bookmarkEnd w:id="129"/>
      <w:r>
        <w:rPr>
          <w:rFonts w:hint="eastAsia"/>
          <w:szCs w:val="21"/>
        </w:rPr>
        <w:t>文档、建筑信息模型（BIM）等资料，利用道路工程定额的结构划分方法和工程量清单，实现全过程、各环节核算道路工程所涉及的材料生产、材料运输、施工、运营维护、拆除等相关活动的温室气体排放量。</w:t>
      </w:r>
    </w:p>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在满足国家现行规范与标准要求的基础上，根据不同需求按阶段核算道路工程相关活动的温室气体排放量，采用排放因子法将分阶段的结果累计为道路工程全寿命周期的碳排放量；</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根据全寿命周期的指标体系，道路工程碳排放应采用公式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2</w:t>
      </w:r>
      <w:r>
        <w:rPr>
          <w:rFonts w:hint="eastAsia"/>
          <w:szCs w:val="21"/>
        </w:rPr>
        <w:t>计算：</w:t>
      </w:r>
    </w:p>
    <w:p>
      <w:pPr>
        <w:spacing w:line="240" w:lineRule="auto"/>
        <w:jc w:val="right"/>
        <w:rPr>
          <w:szCs w:val="21"/>
        </w:rPr>
      </w:pPr>
      <m:oMath>
        <m:r>
          <m:rPr/>
          <w:rPr>
            <w:rFonts w:hint="eastAsia" w:ascii="Cambria Math" w:hAnsi="Cambria Math"/>
            <w:szCs w:val="21"/>
          </w:rPr>
          <m:t>C</m:t>
        </m:r>
        <m:r>
          <m:rPr>
            <m:sty m:val="p"/>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S</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SG</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2</w:t>
      </w:r>
      <w:r>
        <w:rPr>
          <w:rFonts w:hint="eastAsia"/>
          <w:szCs w:val="21"/>
        </w:rPr>
        <w:t>）</w:t>
      </w:r>
    </w:p>
    <w:p>
      <w:pPr>
        <w:spacing w:line="240" w:lineRule="auto"/>
        <w:jc w:val="left"/>
        <w:rPr>
          <w:szCs w:val="21"/>
        </w:rPr>
      </w:pPr>
      <w:r>
        <w:rPr>
          <w:rFonts w:hint="eastAsia"/>
          <w:szCs w:val="21"/>
        </w:rPr>
        <w:t>式中：</w:t>
      </w:r>
    </w:p>
    <w:tbl>
      <w:tblPr>
        <w:tblStyle w:val="14"/>
        <w:tblW w:w="837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r>
                  <m:rPr/>
                  <w:rPr>
                    <w:rFonts w:hint="eastAsia" w:ascii="Cambria Math" w:hAnsi="Cambria Math"/>
                    <w:szCs w:val="21"/>
                  </w:rPr>
                  <m:t>C</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bookmarkStart w:id="130" w:name="OLE_LINK139"/>
            <w:bookmarkStart w:id="131" w:name="OLE_LINK140"/>
            <w:r>
              <w:rPr>
                <w:rFonts w:hint="eastAsia"/>
                <w:szCs w:val="21"/>
              </w:rPr>
              <w:t>道路工程全寿命周期的</w:t>
            </w:r>
            <w:r>
              <w:rPr>
                <w:szCs w:val="21"/>
              </w:rPr>
              <w:t>碳排放总量</w:t>
            </w:r>
            <w:bookmarkEnd w:id="130"/>
            <w:bookmarkEnd w:id="131"/>
            <w:bookmarkStart w:id="132" w:name="OLE_LINK198"/>
            <w:bookmarkStart w:id="133" w:name="OLE_LINK197"/>
            <w:r>
              <w:rPr>
                <w:rFonts w:hint="eastAsia"/>
                <w:szCs w:val="21"/>
              </w:rPr>
              <w:t>（tCO</w:t>
            </w:r>
            <w:r>
              <w:rPr>
                <w:rFonts w:hint="eastAsia"/>
                <w:szCs w:val="21"/>
                <w:vertAlign w:val="subscript"/>
              </w:rPr>
              <w:t>2e</w:t>
            </w:r>
            <w:r>
              <w:rPr>
                <w:rFonts w:hint="eastAsia"/>
                <w:szCs w:val="21"/>
              </w:rPr>
              <w:t>）</w:t>
            </w:r>
            <w:bookmarkEnd w:id="132"/>
            <w:bookmarkEnd w:id="133"/>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材料生产阶段的碳排放量（tCO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S</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材料运输阶段的碳排放量（tCO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SG</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施工阶段的碳排放量（tCO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运营维护阶段的碳排放量（tCO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拆除阶段的碳排放量（tCO</w:t>
            </w:r>
            <w:r>
              <w:rPr>
                <w:rFonts w:hint="eastAsia"/>
                <w:szCs w:val="21"/>
                <w:vertAlign w:val="subscript"/>
              </w:rPr>
              <w:t>2e</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oMath>
            </m:oMathPara>
          </w:p>
        </w:tc>
        <w:tc>
          <w:tcPr>
            <w:tcW w:w="7567" w:type="dxa"/>
            <w:noWrap w:val="0"/>
            <w:vAlign w:val="top"/>
          </w:tcPr>
          <w:p>
            <w:pPr>
              <w:keepNext/>
              <w:spacing w:line="240" w:lineRule="auto"/>
              <w:jc w:val="left"/>
              <w:rPr>
                <w:rFonts w:ascii="宋体" w:hAnsi="宋体"/>
                <w:bCs/>
                <w:szCs w:val="21"/>
              </w:rPr>
            </w:pPr>
            <w:r>
              <w:rPr>
                <w:rFonts w:eastAsia="黑体"/>
                <w:bCs/>
                <w:szCs w:val="21"/>
              </w:rPr>
              <w:t>——</w:t>
            </w:r>
            <w:r>
              <w:rPr>
                <w:rFonts w:hint="eastAsia"/>
                <w:szCs w:val="21"/>
              </w:rPr>
              <w:t>碳汇总量（tCO</w:t>
            </w:r>
            <w:r>
              <w:rPr>
                <w:rFonts w:hint="eastAsia"/>
                <w:szCs w:val="21"/>
                <w:vertAlign w:val="subscript"/>
              </w:rPr>
              <w:t>2e</w:t>
            </w:r>
            <w:r>
              <w:rPr>
                <w:rFonts w:hint="eastAsia"/>
                <w:szCs w:val="21"/>
              </w:rPr>
              <w:t>）</w:t>
            </w:r>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材料生产阶段的碳排放计算公式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应查询道路工程建设的造价文件、设计图纸、采购清单等技术资料，</w:t>
      </w:r>
      <w:r>
        <w:rPr>
          <w:rFonts w:hint="eastAsia"/>
          <w:bCs/>
          <w:szCs w:val="21"/>
        </w:rPr>
        <w:t>采用</w:t>
      </w:r>
      <w:bookmarkStart w:id="134" w:name="OLE_LINK162"/>
      <w:r>
        <w:rPr>
          <w:rFonts w:hint="eastAsia"/>
          <w:bCs/>
          <w:szCs w:val="21"/>
        </w:rPr>
        <w:t>工程定额和工程量清单分析法</w:t>
      </w:r>
      <w:bookmarkEnd w:id="134"/>
      <w:r>
        <w:rPr>
          <w:rFonts w:hint="eastAsia"/>
          <w:bCs/>
          <w:szCs w:val="21"/>
        </w:rPr>
        <w:t>，统计材料、构件、零件、半成品和成品的消耗量；</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参与碳排放计算的材料总重量应不低于道路工程</w:t>
      </w:r>
      <w:bookmarkStart w:id="135" w:name="OLE_LINK155"/>
      <w:r>
        <w:rPr>
          <w:rFonts w:hint="eastAsia"/>
          <w:szCs w:val="21"/>
        </w:rPr>
        <w:t>所耗材料总重量</w:t>
      </w:r>
      <w:bookmarkEnd w:id="135"/>
      <w:r>
        <w:rPr>
          <w:rFonts w:hint="eastAsia"/>
          <w:szCs w:val="21"/>
        </w:rPr>
        <w:t>的95%，重量比小于0.1%的材料可不予计算；</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当使用可再生材料时，应参考《建筑碳排放计算标准》GB/T 51366的要求，按其所替代的初生材料碳排放的50%计算，在公式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3的基础上乘以0.5的系数</w:t>
      </w:r>
      <w:r>
        <w:rPr>
          <w:rFonts w:hint="eastAsia"/>
          <w:szCs w:val="21"/>
        </w:rPr>
        <w:t>；</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材料生产阶段的碳排放应采用公式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3</w:t>
      </w:r>
      <w:r>
        <w:rPr>
          <w:rFonts w:hint="eastAsia"/>
          <w:szCs w:val="21"/>
        </w:rPr>
        <w:t>计算：</w:t>
      </w:r>
    </w:p>
    <w:p>
      <w:pPr>
        <w:wordWrap w:val="0"/>
        <w:spacing w:line="240" w:lineRule="auto"/>
        <w:jc w:val="right"/>
        <w:rPr>
          <w:rFonts w:eastAsia="黑体" w:cs="黑体"/>
          <w:bCs/>
          <w:sz w:val="18"/>
          <w:szCs w:val="18"/>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SC</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i=1</m:t>
            </m:r>
            <m:ctrlPr>
              <w:rPr>
                <w:rFonts w:hint="default" w:ascii="Cambria Math" w:hAnsi="Cambria Math"/>
                <w:i/>
                <w:szCs w:val="21"/>
              </w:rPr>
            </m:ctrlPr>
          </m:sub>
          <m:sup>
            <m:r>
              <m:rPr/>
              <w:rPr>
                <w:rFonts w:hint="default" w:ascii="Cambria Math" w:hAnsi="Cambria Math"/>
                <w:szCs w:val="21"/>
              </w:rPr>
              <m:t>m</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3</w:t>
      </w:r>
      <w:r>
        <w:rPr>
          <w:rFonts w:hint="eastAsia"/>
          <w:szCs w:val="21"/>
        </w:rPr>
        <w:t>）</w:t>
      </w:r>
    </w:p>
    <w:p>
      <w:pPr>
        <w:spacing w:line="240" w:lineRule="auto"/>
        <w:jc w:val="left"/>
        <w:rPr>
          <w:szCs w:val="21"/>
        </w:rPr>
      </w:pPr>
      <w:r>
        <w:rPr>
          <w:rFonts w:hint="eastAsia"/>
          <w:szCs w:val="21"/>
        </w:rPr>
        <w:t>式中：</w:t>
      </w:r>
    </w:p>
    <w:tbl>
      <w:tblPr>
        <w:tblStyle w:val="14"/>
        <w:tblW w:w="837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i</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eastAsia" w:ascii="Cambria Math" w:hAnsi="Cambria Math"/>
                  <w:szCs w:val="21"/>
                </w:rPr>
                <m:t>i</m:t>
              </m:r>
            </m:oMath>
            <w:r>
              <w:rPr>
                <w:rFonts w:hint="eastAsia"/>
                <w:szCs w:val="21"/>
              </w:rPr>
              <w:t>种材料的碳排放因子（tCO</w:t>
            </w:r>
            <w:r>
              <w:rPr>
                <w:rFonts w:hint="eastAsia"/>
                <w:szCs w:val="21"/>
                <w:vertAlign w:val="subscript"/>
              </w:rPr>
              <w:t>2e</w:t>
            </w:r>
            <w:r>
              <w:rPr>
                <w:rFonts w:hint="eastAsia"/>
                <w:szCs w:val="21"/>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eastAsia" w:ascii="Cambria Math" w:hAnsi="Cambria Math"/>
                    <w:szCs w:val="21"/>
                  </w:rPr>
                  <m:t>i</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iCs/>
                <w:szCs w:val="21"/>
              </w:rPr>
              <w:t>材料类型编号，</w:t>
            </w:r>
            <m:oMath>
              <m:r>
                <m:rPr/>
                <w:rPr>
                  <w:rFonts w:hint="eastAsia" w:ascii="Cambria Math" w:hAnsi="Cambria Math"/>
                  <w:szCs w:val="21"/>
                </w:rPr>
                <m:t>i</m:t>
              </m:r>
              <m:r>
                <m:rPr/>
                <w:rPr>
                  <w:rFonts w:hint="default" w:ascii="Cambria Math" w:hAnsi="Cambria Math"/>
                  <w:szCs w:val="21"/>
                </w:rPr>
                <m:t>=1,2,⋯,</m:t>
              </m:r>
              <m:r>
                <m:rPr/>
                <w:rPr>
                  <w:rFonts w:hint="eastAsia" w:ascii="Cambria Math" w:hAnsi="Cambria Math"/>
                  <w:szCs w:val="21"/>
                </w:rPr>
                <m:t>m</m:t>
              </m:r>
            </m:oMath>
            <w:r>
              <w:rPr>
                <w:rFonts w:hint="eastAsia" w:ascii="宋体" w:hAnsi="宋体"/>
                <w:bCs/>
                <w:szCs w:val="21"/>
              </w:rPr>
              <w:t>。</w:t>
            </w:r>
          </w:p>
        </w:tc>
      </w:tr>
    </w:tbl>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4</w:t>
      </w:r>
      <w:r>
        <w:rPr>
          <w:rFonts w:hint="eastAsia" w:ascii="宋体" w:hAnsi="宋体"/>
          <w:b/>
          <w:bCs/>
          <w:szCs w:val="21"/>
        </w:rPr>
        <w:t>.</w:t>
      </w:r>
      <w:r>
        <w:rPr>
          <w:rFonts w:hint="eastAsia" w:eastAsia="黑体" w:cs="黑体"/>
          <w:b/>
          <w:sz w:val="18"/>
          <w:szCs w:val="18"/>
        </w:rPr>
        <w:t>2</w:t>
      </w:r>
      <w:r>
        <w:rPr>
          <w:rFonts w:hint="eastAsia" w:ascii="宋体" w:hAnsi="宋体"/>
          <w:b/>
          <w:bCs/>
          <w:szCs w:val="21"/>
        </w:rPr>
        <w:t>.</w:t>
      </w:r>
      <w:r>
        <w:rPr>
          <w:rFonts w:hint="eastAsia" w:eastAsia="黑体" w:cs="黑体"/>
          <w:b/>
          <w:sz w:val="18"/>
          <w:szCs w:val="18"/>
        </w:rPr>
        <w:t>1</w:t>
      </w:r>
      <w:r>
        <w:rPr>
          <w:rFonts w:ascii="宋体" w:hAnsi="宋体" w:cs="黑体"/>
          <w:bCs/>
          <w:sz w:val="18"/>
          <w:szCs w:val="18"/>
        </w:rPr>
        <w:t xml:space="preserve">  </w:t>
      </w:r>
      <w:r>
        <w:rPr>
          <w:rFonts w:hint="eastAsia" w:eastAsia="黑体" w:cs="黑体"/>
          <w:bCs/>
          <w:sz w:val="18"/>
          <w:szCs w:val="18"/>
        </w:rPr>
        <w:t>工程定额的含义和用途</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5174"/>
        <w:gridCol w:w="3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2"/>
              <w:ind w:firstLine="0" w:firstLineChars="0"/>
              <w:jc w:val="center"/>
              <w:rPr>
                <w:rFonts w:ascii="Times New Roman"/>
                <w:bCs/>
                <w:sz w:val="15"/>
              </w:rPr>
            </w:pPr>
            <w:r>
              <w:rPr>
                <w:rFonts w:ascii="Times New Roman"/>
                <w:bCs/>
                <w:sz w:val="15"/>
              </w:rPr>
              <w:t>定额</w:t>
            </w:r>
          </w:p>
          <w:p>
            <w:pPr>
              <w:pStyle w:val="32"/>
              <w:ind w:firstLine="0" w:firstLineChars="0"/>
              <w:jc w:val="center"/>
              <w:rPr>
                <w:rFonts w:ascii="Times New Roman"/>
                <w:bCs/>
                <w:sz w:val="15"/>
              </w:rPr>
            </w:pPr>
            <w:r>
              <w:rPr>
                <w:rFonts w:ascii="Times New Roman"/>
                <w:bCs/>
                <w:sz w:val="15"/>
              </w:rPr>
              <w:t>名称</w:t>
            </w:r>
          </w:p>
        </w:tc>
        <w:tc>
          <w:tcPr>
            <w:tcW w:w="2729" w:type="pct"/>
            <w:noWrap w:val="0"/>
            <w:vAlign w:val="center"/>
          </w:tcPr>
          <w:p>
            <w:pPr>
              <w:pStyle w:val="32"/>
              <w:ind w:firstLine="0" w:firstLineChars="0"/>
              <w:jc w:val="center"/>
              <w:rPr>
                <w:rFonts w:ascii="Times New Roman"/>
                <w:bCs/>
                <w:sz w:val="15"/>
              </w:rPr>
            </w:pPr>
            <w:r>
              <w:rPr>
                <w:rFonts w:ascii="Times New Roman"/>
                <w:bCs/>
                <w:sz w:val="15"/>
              </w:rPr>
              <w:t>含义</w:t>
            </w:r>
          </w:p>
        </w:tc>
        <w:tc>
          <w:tcPr>
            <w:tcW w:w="1853" w:type="pct"/>
            <w:noWrap w:val="0"/>
            <w:vAlign w:val="center"/>
          </w:tcPr>
          <w:p>
            <w:pPr>
              <w:pStyle w:val="32"/>
              <w:ind w:firstLine="0" w:firstLineChars="0"/>
              <w:jc w:val="center"/>
              <w:rPr>
                <w:rFonts w:ascii="Times New Roman"/>
                <w:bCs/>
                <w:sz w:val="15"/>
              </w:rPr>
            </w:pPr>
            <w:r>
              <w:rPr>
                <w:rFonts w:ascii="Times New Roman"/>
                <w:bCs/>
                <w:sz w:val="15"/>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材料消耗定额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在节约与合理使用材料的条件下，生产单位合格产品所需材料的数量标准</w:t>
            </w:r>
          </w:p>
        </w:tc>
        <w:tc>
          <w:tcPr>
            <w:tcW w:w="1853" w:type="pct"/>
            <w:noWrap w:val="0"/>
            <w:vAlign w:val="center"/>
          </w:tcPr>
          <w:p>
            <w:pPr>
              <w:pStyle w:val="39"/>
              <w:numPr>
                <w:ilvl w:val="0"/>
                <w:numId w:val="0"/>
              </w:numPr>
              <w:spacing w:before="0" w:beforeLines="0" w:after="0" w:afterLines="0"/>
              <w:ind w:left="360"/>
              <w:jc w:val="center"/>
              <w:rPr>
                <w:rFonts w:ascii="Times New Roman" w:eastAsia="宋体"/>
                <w:sz w:val="15"/>
              </w:rPr>
            </w:pPr>
            <w:r>
              <w:rPr>
                <w:rFonts w:hint="eastAsia" w:ascii="Times New Roman" w:eastAsia="宋体"/>
                <w:sz w:val="15"/>
              </w:rPr>
              <w:t>施工企业编制材料用量计划、签发领料卡和实施定额承包；</w:t>
            </w:r>
          </w:p>
          <w:p>
            <w:pPr>
              <w:pStyle w:val="39"/>
              <w:numPr>
                <w:ilvl w:val="0"/>
                <w:numId w:val="0"/>
              </w:numPr>
              <w:spacing w:before="0" w:beforeLines="0" w:after="0" w:afterLines="0"/>
              <w:ind w:left="360"/>
              <w:jc w:val="center"/>
              <w:rPr>
                <w:rFonts w:ascii="Times New Roman" w:eastAsia="宋体"/>
                <w:sz w:val="15"/>
              </w:rPr>
            </w:pPr>
            <w:r>
              <w:rPr>
                <w:rFonts w:hint="eastAsia" w:ascii="Times New Roman" w:eastAsia="宋体"/>
                <w:sz w:val="15"/>
              </w:rPr>
              <w:t>编制预算定额和施工定额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机械台</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班定额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在正常施工条件下，某种施工机械设备完成单位合格产品所需机械台班的数量标准</w:t>
            </w:r>
          </w:p>
        </w:tc>
        <w:tc>
          <w:tcPr>
            <w:tcW w:w="1853" w:type="pct"/>
            <w:noWrap w:val="0"/>
            <w:vAlign w:val="center"/>
          </w:tcPr>
          <w:p>
            <w:pPr>
              <w:pStyle w:val="39"/>
              <w:numPr>
                <w:ilvl w:val="0"/>
                <w:numId w:val="0"/>
              </w:numPr>
              <w:spacing w:before="0" w:beforeLines="0" w:after="0" w:afterLines="0"/>
              <w:ind w:left="360"/>
              <w:jc w:val="center"/>
              <w:rPr>
                <w:rFonts w:ascii="Times New Roman" w:eastAsia="宋体"/>
                <w:sz w:val="15"/>
              </w:rPr>
            </w:pPr>
            <w:r>
              <w:rPr>
                <w:rFonts w:ascii="Times New Roman" w:eastAsia="宋体"/>
                <w:sz w:val="15"/>
              </w:rPr>
              <w:t>施工企业考核机械设备生产效率、编制施工企业计划和按定额实施承包；</w:t>
            </w:r>
          </w:p>
          <w:p>
            <w:pPr>
              <w:pStyle w:val="39"/>
              <w:numPr>
                <w:ilvl w:val="0"/>
                <w:numId w:val="0"/>
              </w:numPr>
              <w:spacing w:before="0" w:beforeLines="0" w:after="0" w:afterLines="0"/>
              <w:jc w:val="center"/>
              <w:rPr>
                <w:rFonts w:ascii="Times New Roman" w:eastAsia="宋体"/>
                <w:sz w:val="15"/>
              </w:rPr>
            </w:pPr>
            <w:r>
              <w:rPr>
                <w:rFonts w:hint="eastAsia" w:ascii="Times New Roman" w:eastAsia="宋体"/>
                <w:sz w:val="15"/>
              </w:rPr>
              <w:t>编制预算定额和施工定额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施工</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确定施工单项、单位产品所需人工、材料和机械台班的数量标准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施工企业内部核算、定额任务承包及两算（施工预算和施工图预算）对比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预算</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确定分部分项工程或构件所需人工、材料和机械台班社会平均消耗的数量标准</w:t>
            </w:r>
          </w:p>
        </w:tc>
        <w:tc>
          <w:tcPr>
            <w:tcW w:w="1853" w:type="pct"/>
            <w:noWrap w:val="0"/>
            <w:vAlign w:val="center"/>
          </w:tcPr>
          <w:p>
            <w:pPr>
              <w:pStyle w:val="39"/>
              <w:numPr>
                <w:ilvl w:val="0"/>
                <w:numId w:val="0"/>
              </w:numPr>
              <w:spacing w:before="0" w:beforeLines="0" w:after="0" w:afterLines="0"/>
              <w:jc w:val="center"/>
              <w:rPr>
                <w:rFonts w:ascii="Times New Roman" w:eastAsia="宋体"/>
                <w:sz w:val="15"/>
              </w:rPr>
            </w:pPr>
            <w:r>
              <w:rPr>
                <w:rFonts w:ascii="Times New Roman" w:eastAsia="宋体"/>
                <w:sz w:val="15"/>
              </w:rPr>
              <w:t>编制单位估价表</w:t>
            </w:r>
            <w:r>
              <w:rPr>
                <w:rFonts w:hint="eastAsia" w:ascii="Times New Roman" w:eastAsia="宋体"/>
                <w:sz w:val="15"/>
              </w:rPr>
              <w:t>（预算定价）</w:t>
            </w:r>
          </w:p>
          <w:p>
            <w:pPr>
              <w:pStyle w:val="39"/>
              <w:numPr>
                <w:ilvl w:val="0"/>
                <w:numId w:val="0"/>
              </w:numPr>
              <w:spacing w:before="0" w:beforeLines="0" w:after="0" w:afterLines="0"/>
              <w:jc w:val="center"/>
              <w:rPr>
                <w:rFonts w:ascii="Times New Roman" w:eastAsia="宋体"/>
                <w:sz w:val="15"/>
              </w:rPr>
            </w:pPr>
            <w:r>
              <w:rPr>
                <w:rFonts w:hint="eastAsia" w:ascii="Times New Roman" w:eastAsia="宋体"/>
                <w:sz w:val="15"/>
              </w:rPr>
              <w:t>甲、乙方付款、预结算</w:t>
            </w:r>
          </w:p>
          <w:p>
            <w:pPr>
              <w:pStyle w:val="39"/>
              <w:numPr>
                <w:ilvl w:val="0"/>
                <w:numId w:val="0"/>
              </w:numPr>
              <w:spacing w:before="0" w:beforeLines="0" w:after="0" w:afterLines="0"/>
              <w:jc w:val="center"/>
              <w:rPr>
                <w:rFonts w:ascii="Times New Roman" w:eastAsia="宋体"/>
                <w:sz w:val="15"/>
              </w:rPr>
            </w:pPr>
            <w:r>
              <w:rPr>
                <w:rFonts w:hint="eastAsia" w:ascii="Times New Roman" w:eastAsia="宋体"/>
                <w:sz w:val="15"/>
              </w:rPr>
              <w:t>施工单位审核施工图预算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概算</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定额</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hint="eastAsia" w:ascii="Times New Roman" w:eastAsia="宋体"/>
                <w:sz w:val="15"/>
              </w:rPr>
              <w:t>确定扩大分部分项工程或构件所需人工、材料和机械台班合理综合消耗的数量标准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编制初步（或扩大初步）设计概算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投资估</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算指标</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在项目建议书和可行性研究阶段编制的投资估算、计算投资需要量时使用的数量标准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编制投资估算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概算</w:t>
            </w:r>
          </w:p>
          <w:p>
            <w:pPr>
              <w:pStyle w:val="39"/>
              <w:numPr>
                <w:ilvl w:val="2"/>
                <w:numId w:val="0"/>
              </w:numPr>
              <w:spacing w:before="0" w:beforeLines="0" w:after="0" w:afterLines="0"/>
              <w:jc w:val="center"/>
              <w:rPr>
                <w:rFonts w:ascii="Times New Roman" w:eastAsia="宋体"/>
                <w:sz w:val="15"/>
              </w:rPr>
            </w:pPr>
            <w:r>
              <w:rPr>
                <w:rFonts w:ascii="Times New Roman" w:eastAsia="宋体"/>
                <w:sz w:val="15"/>
              </w:rPr>
              <w:t>指标</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确定</w:t>
            </w:r>
            <w:r>
              <w:rPr>
                <w:rFonts w:hint="eastAsia" w:ascii="Times New Roman" w:eastAsia="宋体"/>
                <w:sz w:val="15"/>
              </w:rPr>
              <w:t>建（</w:t>
            </w:r>
            <w:r>
              <w:rPr>
                <w:rFonts w:ascii="Times New Roman" w:eastAsia="宋体"/>
                <w:sz w:val="15"/>
              </w:rPr>
              <w:t>构</w:t>
            </w:r>
            <w:r>
              <w:rPr>
                <w:rFonts w:hint="eastAsia" w:ascii="Times New Roman" w:eastAsia="宋体"/>
                <w:sz w:val="15"/>
              </w:rPr>
              <w:t>）</w:t>
            </w:r>
            <w:r>
              <w:rPr>
                <w:rFonts w:ascii="Times New Roman" w:eastAsia="宋体"/>
                <w:sz w:val="15"/>
              </w:rPr>
              <w:t>筑物所需</w:t>
            </w:r>
            <w:r>
              <w:rPr>
                <w:rFonts w:hint="eastAsia" w:ascii="Times New Roman" w:eastAsia="宋体"/>
                <w:sz w:val="15"/>
              </w:rPr>
              <w:t>人工、材料和机械台班的数量标准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编制初步设计或</w:t>
            </w:r>
            <w:r>
              <w:rPr>
                <w:rFonts w:hint="eastAsia" w:ascii="Times New Roman" w:eastAsia="宋体"/>
                <w:sz w:val="15"/>
              </w:rPr>
              <w:t>扩大初步设计概算，或用于物资分配、供应及编制计划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8"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竣工</w:t>
            </w:r>
            <w:r>
              <w:rPr>
                <w:rFonts w:hint="eastAsia" w:ascii="Times New Roman" w:eastAsia="宋体"/>
                <w:sz w:val="15"/>
              </w:rPr>
              <w:t>决算</w:t>
            </w:r>
            <w:r>
              <w:rPr>
                <w:rFonts w:ascii="Times New Roman" w:eastAsia="宋体"/>
                <w:sz w:val="15"/>
              </w:rPr>
              <w:t>指标</w:t>
            </w:r>
          </w:p>
        </w:tc>
        <w:tc>
          <w:tcPr>
            <w:tcW w:w="2729"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在</w:t>
            </w:r>
            <w:r>
              <w:rPr>
                <w:rFonts w:hint="eastAsia" w:ascii="Times New Roman" w:eastAsia="宋体"/>
                <w:sz w:val="15"/>
              </w:rPr>
              <w:t>建设</w:t>
            </w:r>
            <w:r>
              <w:rPr>
                <w:rFonts w:ascii="Times New Roman" w:eastAsia="宋体"/>
                <w:sz w:val="15"/>
              </w:rPr>
              <w:t>项目或单项工程完工后，根据竣工图纸、设计变更和现场签证等</w:t>
            </w:r>
            <w:r>
              <w:rPr>
                <w:rFonts w:hint="eastAsia" w:ascii="Times New Roman" w:eastAsia="宋体"/>
                <w:sz w:val="15"/>
              </w:rPr>
              <w:t>文件</w:t>
            </w:r>
            <w:r>
              <w:rPr>
                <w:rFonts w:ascii="Times New Roman" w:eastAsia="宋体"/>
                <w:sz w:val="15"/>
              </w:rPr>
              <w:t>编制</w:t>
            </w:r>
            <w:r>
              <w:rPr>
                <w:rFonts w:hint="eastAsia" w:ascii="Times New Roman" w:eastAsia="宋体"/>
                <w:sz w:val="15"/>
              </w:rPr>
              <w:t>实际支出费用和项目决算汇总表时使用的数量标准</w:t>
            </w:r>
          </w:p>
        </w:tc>
        <w:tc>
          <w:tcPr>
            <w:tcW w:w="1853" w:type="pct"/>
            <w:noWrap w:val="0"/>
            <w:vAlign w:val="center"/>
          </w:tcPr>
          <w:p>
            <w:pPr>
              <w:pStyle w:val="39"/>
              <w:numPr>
                <w:ilvl w:val="2"/>
                <w:numId w:val="0"/>
              </w:numPr>
              <w:spacing w:before="0" w:beforeLines="0" w:after="0" w:afterLines="0"/>
              <w:jc w:val="center"/>
              <w:rPr>
                <w:rFonts w:ascii="Times New Roman" w:eastAsia="宋体"/>
                <w:sz w:val="15"/>
              </w:rPr>
            </w:pPr>
            <w:r>
              <w:rPr>
                <w:rFonts w:ascii="Times New Roman" w:eastAsia="宋体"/>
                <w:sz w:val="15"/>
              </w:rPr>
              <w:t>编制竣工决算和核定新增固定资产价值</w:t>
            </w:r>
          </w:p>
        </w:tc>
      </w:tr>
    </w:tbl>
    <w:p>
      <w:pPr>
        <w:spacing w:line="240" w:lineRule="auto"/>
        <w:rPr>
          <w:kern w:val="0"/>
          <w:sz w:val="15"/>
          <w:szCs w:val="21"/>
        </w:rPr>
      </w:pPr>
      <w:r>
        <w:rPr>
          <w:kern w:val="0"/>
          <w:sz w:val="15"/>
          <w:szCs w:val="21"/>
        </w:rPr>
        <w:t>注：</w:t>
      </w:r>
      <w:r>
        <w:rPr>
          <w:rFonts w:hint="eastAsia"/>
          <w:kern w:val="0"/>
          <w:sz w:val="15"/>
          <w:szCs w:val="21"/>
        </w:rPr>
        <w:t>本表格来源于专著：张孝存, 王凤来. 建筑工程碳排放计量[M]. 北京:机械工业出版社, 2022。</w:t>
      </w:r>
    </w:p>
    <w:p>
      <w:pPr>
        <w:spacing w:line="240" w:lineRule="auto"/>
        <w:rPr>
          <w:b/>
          <w:bCs/>
          <w:szCs w:val="21"/>
        </w:rPr>
      </w:pPr>
    </w:p>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bookmarkStart w:id="136" w:name="_Hlk170680684"/>
      <w:r>
        <w:rPr>
          <w:rFonts w:hint="eastAsia"/>
          <w:szCs w:val="21"/>
        </w:rPr>
        <w:t>材料运输阶段的碳排放计算公式</w:t>
      </w:r>
      <w:bookmarkEnd w:id="136"/>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应根据材料的货运量、平均运输距离、运输方式的单位货运量单位运输距离的碳排放因子及运输方式的单位货运量单位运输距离的能源消耗量确定材料运输阶段的碳排放量；</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运输方式应包括道路、铁路、航空、水运（含海洋运输）等物流体系；</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材料运输活动数据应结合材料供应地点、临时场站选址、运输方式、路况综合选定；</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材料运输阶段的碳排放应采用公式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4</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S</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eastAsia" w:ascii="Cambria Math" w:hAnsi="Cambria Math"/>
                <w:szCs w:val="21"/>
              </w:rPr>
              <m:t>r</m:t>
            </m:r>
            <m:r>
              <m:rPr/>
              <w:rPr>
                <w:rFonts w:hint="default" w:ascii="Cambria Math" w:hAnsi="Cambria Math"/>
                <w:szCs w:val="21"/>
              </w:rPr>
              <m:t>=1</m:t>
            </m:r>
            <m:ctrlPr>
              <w:rPr>
                <w:rFonts w:hint="default" w:ascii="Cambria Math" w:hAnsi="Cambria Math"/>
                <w:i/>
                <w:szCs w:val="21"/>
              </w:rPr>
            </m:ctrlPr>
          </m:sub>
          <m:sup>
            <m:r>
              <m:rPr/>
              <w:rPr>
                <w:rFonts w:hint="default" w:ascii="Cambria Math" w:hAnsi="Cambria Math"/>
                <w:szCs w:val="21"/>
              </w:rPr>
              <m:t>m</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D</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4</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r</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r</m:t>
              </m:r>
            </m:oMath>
            <w:r>
              <w:rPr>
                <w:rFonts w:hint="eastAsia"/>
                <w:szCs w:val="21"/>
              </w:rPr>
              <w:t>种材料的运输量（t）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rPr>
                    </m:ctrlPr>
                  </m:sSubPr>
                  <m:e>
                    <m:r>
                      <m:rPr/>
                      <w:rPr>
                        <w:rFonts w:hint="default" w:ascii="Cambria Math" w:hAnsi="Cambria Math"/>
                      </w:rPr>
                      <m:t>D</m:t>
                    </m:r>
                    <m:ctrlPr>
                      <w:rPr>
                        <w:rFonts w:hint="default" w:ascii="Cambria Math" w:hAnsi="Cambria Math"/>
                      </w:rPr>
                    </m:ctrlPr>
                  </m:e>
                  <m:sub>
                    <m:r>
                      <m:rPr/>
                      <w:rPr>
                        <w:rFonts w:hint="default" w:ascii="Cambria Math" w:hAnsi="Cambria Math"/>
                      </w:rPr>
                      <m:t>r</m:t>
                    </m:r>
                    <m:ctrlPr>
                      <w:rPr>
                        <w:rFonts w:hint="default" w:ascii="Cambria Math" w:hAnsi="Cambria Math"/>
                      </w:rPr>
                    </m:ctrlPr>
                  </m:sub>
                </m:sSub>
              </m:oMath>
            </m:oMathPara>
          </w:p>
        </w:tc>
        <w:tc>
          <w:tcPr>
            <w:tcW w:w="7823"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rPr>
              <w:t>使用第</w:t>
            </w:r>
            <m:oMath>
              <m:r>
                <m:rPr/>
                <w:rPr>
                  <w:rFonts w:hint="default" w:ascii="Cambria Math" w:hAnsi="Cambria Math"/>
                </w:rPr>
                <m:t>r</m:t>
              </m:r>
            </m:oMath>
            <w:r>
              <w:rPr>
                <w:rFonts w:hint="eastAsia"/>
                <w:iCs/>
              </w:rPr>
              <w:t>种材料</w:t>
            </w:r>
            <w:r>
              <w:rPr>
                <w:rFonts w:hint="eastAsia"/>
              </w:rPr>
              <w:t>的平均运输距离（km）</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rPr>
                    </m:ctrlPr>
                  </m:sSubPr>
                  <m:e>
                    <m:r>
                      <m:rPr/>
                      <w:rPr>
                        <w:rFonts w:hint="default" w:ascii="Cambria Math" w:hAnsi="Cambria Math"/>
                      </w:rPr>
                      <m:t>F</m:t>
                    </m:r>
                    <m:ctrlPr>
                      <w:rPr>
                        <w:rFonts w:hint="default" w:ascii="Cambria Math" w:hAnsi="Cambria Math"/>
                        <w:i/>
                      </w:rPr>
                    </m:ctrlPr>
                  </m:e>
                  <m:sub>
                    <m:r>
                      <m:rPr/>
                      <w:rPr>
                        <w:rFonts w:hint="default" w:ascii="Cambria Math" w:hAnsi="Cambria Math"/>
                      </w:rPr>
                      <m:t>r</m:t>
                    </m:r>
                    <m:ctrlPr>
                      <w:rPr>
                        <w:rFonts w:hint="default" w:ascii="Cambria Math" w:hAnsi="Cambria Math"/>
                        <w:i/>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rPr>
              <w:t>第</w:t>
            </w:r>
            <m:oMath>
              <m:r>
                <m:rPr/>
                <w:rPr>
                  <w:rFonts w:hint="default" w:ascii="Cambria Math" w:hAnsi="Cambria Math"/>
                </w:rPr>
                <m:t>r</m:t>
              </m:r>
            </m:oMath>
            <w:r>
              <w:rPr>
                <w:rFonts w:hint="eastAsia"/>
              </w:rPr>
              <w:t>种材料的</w:t>
            </w:r>
            <w:r>
              <w:rPr>
                <w:rFonts w:hint="eastAsia"/>
                <w:iCs/>
              </w:rPr>
              <w:t>运输方式下</w:t>
            </w:r>
            <w:r>
              <w:rPr>
                <w:rFonts w:hint="eastAsia"/>
              </w:rPr>
              <w:t>单位货运量单位运输距离的碳排放因子[t</w:t>
            </w:r>
            <w:r>
              <w:rPr>
                <w:rFonts w:hint="eastAsia"/>
                <w:szCs w:val="21"/>
              </w:rPr>
              <w:t>CO</w:t>
            </w:r>
            <w:r>
              <w:rPr>
                <w:rFonts w:hint="eastAsia"/>
                <w:szCs w:val="21"/>
                <w:vertAlign w:val="subscript"/>
              </w:rPr>
              <w:t>2e</w:t>
            </w:r>
            <w:r>
              <w:rPr>
                <w:rFonts w:hint="eastAsia"/>
                <w:szCs w:val="21"/>
              </w:rPr>
              <w:t>/(t</w:t>
            </w:r>
            <w:r>
              <w:rPr>
                <w:rFonts w:hint="eastAsia" w:cs="微软雅黑"/>
                <w:szCs w:val="21"/>
              </w:rPr>
              <w:t>·</w:t>
            </w:r>
            <w:r>
              <w:rPr>
                <w:rFonts w:hint="eastAsia"/>
                <w:szCs w:val="21"/>
              </w:rPr>
              <w:t>km)]</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r>
                  <m:rPr/>
                  <w:rPr>
                    <w:rFonts w:hint="eastAsia" w:ascii="Cambria Math" w:hAnsi="Cambria Math"/>
                  </w:rPr>
                  <m:t>k</m:t>
                </m:r>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运输方式编号，</w:t>
            </w:r>
            <m:oMath>
              <m:r>
                <m:rPr/>
                <w:rPr>
                  <w:rFonts w:hint="eastAsia" w:ascii="Cambria Math" w:hAnsi="Cambria Math"/>
                  <w:szCs w:val="21"/>
                </w:rPr>
                <m:t>r</m:t>
              </m:r>
              <m:r>
                <m:rPr/>
                <w:rPr>
                  <w:rFonts w:hint="default" w:ascii="Cambria Math" w:hAnsi="Cambria Math"/>
                  <w:szCs w:val="21"/>
                </w:rPr>
                <m:t>=1,2,⋯,</m:t>
              </m:r>
              <m:r>
                <m:rPr/>
                <w:rPr>
                  <w:rFonts w:hint="eastAsia" w:ascii="Cambria Math" w:hAnsi="Cambria Math"/>
                  <w:szCs w:val="21"/>
                </w:rPr>
                <m:t>m</m:t>
              </m:r>
            </m:oMath>
            <w:r>
              <w:rPr>
                <w:rFonts w:hint="eastAsia"/>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bookmarkStart w:id="137" w:name="OLE_LINK61"/>
      <w:r>
        <w:rPr>
          <w:rFonts w:hint="eastAsia"/>
          <w:szCs w:val="21"/>
        </w:rPr>
        <w:t>施工阶段</w:t>
      </w:r>
      <w:bookmarkEnd w:id="137"/>
      <w:r>
        <w:rPr>
          <w:rFonts w:hint="eastAsia"/>
          <w:szCs w:val="21"/>
        </w:rPr>
        <w:t>的碳排放计算公式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应采用工程定额和工程量清单分析法，统计机械设备的台班量及能源消耗量；</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结合能源的碳排放因子，施工阶段的碳排放应采用公式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5-1</w:t>
      </w:r>
      <w:r>
        <w:rPr>
          <w:rFonts w:hint="eastAsia"/>
          <w:szCs w:val="21"/>
        </w:rPr>
        <w:t>计算：</w:t>
      </w:r>
    </w:p>
    <w:p>
      <w:pPr>
        <w:tabs>
          <w:tab w:val="center" w:leader="dot" w:pos="4679"/>
        </w:tabs>
        <w:spacing w:line="300" w:lineRule="auto"/>
        <w:jc w:val="right"/>
        <w:rPr>
          <w:rFonts w:cs="Cambria Math"/>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SG</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j=1</m:t>
            </m:r>
            <m:ctrlPr>
              <w:rPr>
                <w:rFonts w:hint="default" w:ascii="Cambria Math" w:hAnsi="Cambria Math"/>
                <w:i/>
                <w:szCs w:val="21"/>
              </w:rPr>
            </m:ctrlPr>
          </m:sub>
          <m:sup>
            <m:r>
              <m:rPr/>
              <w:rPr>
                <w:rFonts w:hint="default" w:ascii="Cambria Math" w:hAnsi="Cambria Math"/>
                <w:szCs w:val="21"/>
              </w:rPr>
              <m:t>n</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j</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FC</m:t>
                </m:r>
                <m:ctrlPr>
                  <w:rPr>
                    <w:rFonts w:hint="default" w:ascii="Cambria Math" w:hAnsi="Cambria Math"/>
                    <w:i/>
                    <w:szCs w:val="21"/>
                  </w:rPr>
                </m:ctrlPr>
              </m:e>
              <m:sub>
                <m:r>
                  <m:rPr/>
                  <w:rPr>
                    <w:rFonts w:hint="default" w:ascii="Cambria Math" w:hAnsi="Cambria Math"/>
                    <w:szCs w:val="21"/>
                  </w:rPr>
                  <m:t>jr</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5-1</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rPr>
                    </m:ctrlPr>
                  </m:sSubPr>
                  <m:e>
                    <m:r>
                      <m:rPr/>
                      <w:rPr>
                        <w:rFonts w:hint="default" w:ascii="Cambria Math" w:hAnsi="Cambria Math"/>
                      </w:rPr>
                      <m:t>N</m:t>
                    </m:r>
                    <m:ctrlPr>
                      <w:rPr>
                        <w:rFonts w:hint="default" w:ascii="Cambria Math" w:hAnsi="Cambria Math"/>
                        <w:i/>
                      </w:rPr>
                    </m:ctrlPr>
                  </m:e>
                  <m:sub>
                    <m:r>
                      <m:rPr/>
                      <w:rPr>
                        <w:rFonts w:hint="default" w:ascii="Cambria Math" w:hAnsi="Cambria Math"/>
                      </w:rPr>
                      <m:t>j</m:t>
                    </m:r>
                    <m:ctrlPr>
                      <w:rPr>
                        <w:rFonts w:hint="default" w:ascii="Cambria Math" w:hAnsi="Cambria Math"/>
                        <w:i/>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机械设备</w:t>
            </w:r>
            <m:oMath>
              <m:r>
                <m:rPr/>
                <w:rPr>
                  <w:rFonts w:hint="eastAsia" w:ascii="Cambria Math" w:hAnsi="Cambria Math"/>
                </w:rPr>
                <m:t>j</m:t>
              </m:r>
            </m:oMath>
            <w:r>
              <w:rPr>
                <w:rFonts w:hint="eastAsia"/>
              </w:rPr>
              <w:t>的台班量（台班）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rPr>
                    </m:ctrlPr>
                  </m:sSubPr>
                  <m:e>
                    <m:r>
                      <m:rPr/>
                      <w:rPr>
                        <w:rFonts w:hint="default" w:ascii="Cambria Math" w:hAnsi="Cambria Math"/>
                      </w:rPr>
                      <m:t>E</m:t>
                    </m:r>
                    <m:ctrlPr>
                      <w:rPr>
                        <w:rFonts w:hint="default" w:ascii="Cambria Math" w:hAnsi="Cambria Math"/>
                        <w:i/>
                      </w:rPr>
                    </m:ctrlPr>
                  </m:e>
                  <m:sub>
                    <m:r>
                      <m:rPr/>
                      <w:rPr>
                        <w:rFonts w:hint="default" w:ascii="Cambria Math" w:hAnsi="Cambria Math"/>
                      </w:rPr>
                      <m:t>jr</m:t>
                    </m:r>
                    <m:ctrlPr>
                      <w:rPr>
                        <w:rFonts w:hint="default" w:ascii="Cambria Math" w:hAnsi="Cambria Math"/>
                        <w:i/>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t>机械设备</w:t>
            </w:r>
            <m:oMath>
              <m:r>
                <m:rPr/>
                <w:rPr>
                  <w:rFonts w:hint="eastAsia" w:ascii="Cambria Math" w:hAnsi="Cambria Math"/>
                </w:rPr>
                <m:t>j</m:t>
              </m:r>
            </m:oMath>
            <w:r>
              <w:rPr>
                <w:rFonts w:hint="eastAsia"/>
              </w:rPr>
              <w:t>单位台班能源</w:t>
            </w:r>
            <m:oMath>
              <m:r>
                <m:rPr/>
                <w:rPr>
                  <w:rFonts w:hint="default" w:ascii="Cambria Math" w:hAnsi="Cambria Math"/>
                </w:rPr>
                <m:t>r</m:t>
              </m:r>
            </m:oMath>
            <w:r>
              <w:rPr>
                <w:rFonts w:hint="eastAsia"/>
              </w:rPr>
              <w:t>的消耗量（t/台班，或者采用KWh/台班）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rPr>
                    </m:ctrlPr>
                  </m:sSubPr>
                  <m:e>
                    <m:r>
                      <m:rPr/>
                      <w:rPr>
                        <w:rFonts w:hint="default" w:ascii="Cambria Math" w:hAnsi="Cambria Math"/>
                      </w:rPr>
                      <m:t>FC</m:t>
                    </m:r>
                    <m:ctrlPr>
                      <w:rPr>
                        <w:rFonts w:hint="default" w:ascii="Cambria Math" w:hAnsi="Cambria Math"/>
                        <w:i/>
                      </w:rPr>
                    </m:ctrlPr>
                  </m:e>
                  <m:sub>
                    <m:r>
                      <m:rPr/>
                      <w:rPr>
                        <w:rFonts w:hint="default" w:ascii="Cambria Math" w:hAnsi="Cambria Math"/>
                      </w:rPr>
                      <m:t>jr</m:t>
                    </m:r>
                    <m:ctrlPr>
                      <w:rPr>
                        <w:rFonts w:hint="default" w:ascii="Cambria Math" w:hAnsi="Cambria Math"/>
                        <w:i/>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t>机械设备</w:t>
            </w:r>
            <m:oMath>
              <m:r>
                <m:rPr/>
                <w:rPr>
                  <w:rFonts w:hint="eastAsia" w:ascii="Cambria Math" w:hAnsi="Cambria Math"/>
                </w:rPr>
                <m:t>j</m:t>
              </m:r>
            </m:oMath>
            <w:r>
              <w:rPr>
                <w:rFonts w:hint="eastAsia"/>
              </w:rPr>
              <w:t>所用能源</w:t>
            </w:r>
            <m:oMath>
              <m:r>
                <m:rPr/>
                <w:rPr>
                  <w:rFonts w:hint="default" w:ascii="Cambria Math" w:hAnsi="Cambria Math"/>
                </w:rPr>
                <m:t>r</m:t>
              </m:r>
            </m:oMath>
            <w:r>
              <w:rPr>
                <w:rFonts w:hint="eastAsia"/>
              </w:rPr>
              <w:t>的碳排放因子（t</w:t>
            </w:r>
            <w:r>
              <w:rPr>
                <w:rFonts w:hint="eastAsia"/>
                <w:szCs w:val="21"/>
              </w:rPr>
              <w:t>CO</w:t>
            </w:r>
            <w:r>
              <w:rPr>
                <w:rFonts w:hint="eastAsia"/>
                <w:szCs w:val="21"/>
                <w:vertAlign w:val="subscript"/>
              </w:rPr>
              <w:t>2e</w:t>
            </w:r>
            <w:r>
              <w:rPr>
                <w:rFonts w:hint="eastAsia"/>
              </w:rPr>
              <w:t>/t，或者采用t</w:t>
            </w:r>
            <w:r>
              <w:rPr>
                <w:rFonts w:hint="eastAsia"/>
                <w:szCs w:val="21"/>
              </w:rPr>
              <w:t>CO</w:t>
            </w:r>
            <w:r>
              <w:rPr>
                <w:rFonts w:hint="eastAsia"/>
                <w:szCs w:val="21"/>
                <w:vertAlign w:val="subscript"/>
              </w:rPr>
              <w:t>2e</w:t>
            </w:r>
            <w:r>
              <w:rPr>
                <w:rFonts w:hint="eastAsia"/>
              </w:rPr>
              <w:t>/KWh）</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r>
                  <m:rPr/>
                  <w:rPr>
                    <w:rFonts w:hint="eastAsia" w:ascii="Cambria Math" w:hAnsi="Cambria Math"/>
                  </w:rPr>
                  <m:t>j</m:t>
                </m:r>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机械设备类型，</w:t>
            </w:r>
            <m:oMath>
              <m:r>
                <m:rPr/>
                <w:rPr>
                  <w:rFonts w:hint="eastAsia" w:ascii="Cambria Math" w:hAnsi="Cambria Math"/>
                </w:rPr>
                <m:t>j</m:t>
              </m:r>
              <m:r>
                <m:rPr/>
                <w:rPr>
                  <w:rFonts w:hint="default" w:ascii="Cambria Math" w:hAnsi="Cambria Math"/>
                </w:rPr>
                <m:t>=1,2,⋯,n</m:t>
              </m:r>
            </m:oMath>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rPr>
                  <m:t>r</m:t>
                </m:r>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能源的种类编号，常用能源主要有汽油、柴油、重油、天然气以及电能等。</w:t>
            </w:r>
          </w:p>
        </w:tc>
      </w:tr>
    </w:tbl>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施工阶段的能源消耗量应采用施工工序能耗估算法，根据各分部分项工程和措施项目的工程量、单位工程的机械台班消耗量和单位台班机械的能源用量逐一计算，汇总得到施工阶段能源总用量，按公式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5-2</w:t>
      </w:r>
      <w:r>
        <w:rPr>
          <w:rFonts w:hint="eastAsia"/>
          <w:szCs w:val="21"/>
        </w:rPr>
        <w:t>计算：</w:t>
      </w:r>
    </w:p>
    <w:p>
      <w:pPr>
        <w:spacing w:line="240" w:lineRule="auto"/>
        <w:ind w:firstLine="420" w:firstLineChars="200"/>
        <w:jc w:val="right"/>
        <w:rPr>
          <w:szCs w:val="21"/>
        </w:rPr>
      </w:pPr>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SG</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fx</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cs</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5-2</w:t>
      </w:r>
      <w:r>
        <w:rPr>
          <w:rFonts w:hint="eastAsia"/>
          <w:szCs w:val="21"/>
        </w:rPr>
        <w:t>）</w:t>
      </w:r>
    </w:p>
    <w:p>
      <w:pPr>
        <w:spacing w:line="240" w:lineRule="auto"/>
        <w:jc w:val="left"/>
        <w:rPr>
          <w:szCs w:val="21"/>
        </w:rPr>
      </w:pPr>
      <w:bookmarkStart w:id="138" w:name="OLE_LINK267"/>
      <w:bookmarkStart w:id="139" w:name="OLE_LINK266"/>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SG</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施工阶段总能源消耗量（t或KWh）</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fx</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ascii="Cambria Math" w:hAnsi="Cambria Math" w:eastAsia="黑体"/>
                <w:bCs/>
                <w:szCs w:val="21"/>
              </w:rPr>
            </w:pPr>
            <w:r>
              <w:rPr>
                <w:rFonts w:eastAsia="黑体"/>
                <w:bCs/>
                <w:szCs w:val="21"/>
              </w:rPr>
              <w:t>——</w:t>
            </w:r>
            <w:r>
              <w:rPr>
                <w:rFonts w:hint="eastAsia"/>
              </w:rPr>
              <w:t>分部分项工程总能源消耗量（t或KWh）</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cs</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措施项目总</w:t>
            </w:r>
            <w:r>
              <w:rPr>
                <w:rFonts w:hint="eastAsia"/>
                <w:szCs w:val="21"/>
              </w:rPr>
              <w:t>能源</w:t>
            </w:r>
            <w:r>
              <w:rPr>
                <w:szCs w:val="21"/>
              </w:rPr>
              <w:t>消耗量</w:t>
            </w:r>
            <w:r>
              <w:rPr>
                <w:rFonts w:hint="eastAsia"/>
              </w:rPr>
              <w:t>（t或KWh）</w:t>
            </w:r>
            <w:r>
              <w:rPr>
                <w:rFonts w:hint="eastAsia" w:ascii="宋体" w:hAnsi="宋体"/>
                <w:bCs/>
                <w:szCs w:val="21"/>
              </w:rPr>
              <w:t>。</w:t>
            </w:r>
          </w:p>
        </w:tc>
      </w:tr>
      <w:bookmarkEnd w:id="138"/>
      <w:bookmarkEnd w:id="139"/>
    </w:tbl>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分部分项工程总能源消耗量应按公式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5-3和</w:t>
      </w:r>
      <w:r>
        <w:rPr>
          <w:rFonts w:hint="eastAsia"/>
          <w:szCs w:val="21"/>
        </w:rPr>
        <w:t>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5-4</w:t>
      </w:r>
      <w:r>
        <w:rPr>
          <w:rFonts w:hint="eastAsia"/>
          <w:szCs w:val="21"/>
        </w:rPr>
        <w:t>计算：</w:t>
      </w:r>
    </w:p>
    <w:p>
      <w:pPr>
        <w:spacing w:line="240" w:lineRule="auto"/>
        <w:ind w:firstLine="420" w:firstLineChars="200"/>
        <w:jc w:val="right"/>
        <w:rPr>
          <w:szCs w:val="21"/>
        </w:rPr>
      </w:pPr>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f</m:t>
            </m:r>
            <m:r>
              <m:rPr/>
              <w:rPr>
                <w:rFonts w:hint="default" w:ascii="Cambria Math" w:hAnsi="Cambria Math"/>
                <w:szCs w:val="21"/>
              </w:rPr>
              <m:t>x</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u=1</m:t>
            </m:r>
            <m:ctrlPr>
              <w:rPr>
                <w:rFonts w:hint="default" w:ascii="Cambria Math" w:hAnsi="Cambria Math"/>
                <w:i/>
                <w:szCs w:val="21"/>
              </w:rPr>
            </m:ctrlPr>
          </m:sub>
          <m:sup>
            <m:r>
              <m:rPr/>
              <w:rPr>
                <w:rFonts w:hint="default" w:ascii="Cambria Math" w:hAnsi="Cambria Math"/>
                <w:szCs w:val="21"/>
              </w:rPr>
              <m:t>U</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5-3</w:t>
      </w:r>
      <w:r>
        <w:rPr>
          <w:rFonts w:hint="eastAsia"/>
          <w:szCs w:val="21"/>
        </w:rPr>
        <w:t>）</w:t>
      </w:r>
    </w:p>
    <w:p>
      <w:pPr>
        <w:spacing w:line="240" w:lineRule="auto"/>
        <w:ind w:firstLine="420" w:firstLineChars="200"/>
        <w:jc w:val="right"/>
        <w:rPr>
          <w:szCs w:val="21"/>
        </w:rPr>
      </w:pPr>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eastAsia" w:ascii="Cambria Math" w:hAnsi="Cambria Math"/>
                <w:szCs w:val="21"/>
              </w:rPr>
              <m:t>v</m:t>
            </m:r>
            <m:r>
              <m:rPr/>
              <w:rPr>
                <w:rFonts w:hint="default" w:ascii="Cambria Math" w:hAnsi="Cambria Math"/>
                <w:szCs w:val="21"/>
              </w:rPr>
              <m:t>=1</m:t>
            </m:r>
            <m:ctrlPr>
              <w:rPr>
                <w:rFonts w:hint="default" w:ascii="Cambria Math" w:hAnsi="Cambria Math"/>
                <w:i/>
                <w:szCs w:val="21"/>
              </w:rPr>
            </m:ctrlPr>
          </m:sub>
          <m:sup>
            <m:r>
              <m:rPr/>
              <w:rPr>
                <w:rFonts w:hint="default" w:ascii="Cambria Math" w:hAnsi="Cambria Math"/>
                <w:szCs w:val="21"/>
              </w:rPr>
              <m:t>V</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u,v</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vv,u</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5-4</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fx,</m:t>
                    </m:r>
                    <m:r>
                      <m:rPr/>
                      <w:rPr>
                        <w:rFonts w:hint="eastAsia" w:ascii="Cambria Math" w:hAnsi="Cambria Math"/>
                        <w:szCs w:val="21"/>
                      </w:rPr>
                      <m:t>u</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个项目的工程量（工程量计量单位）</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fx,u</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szCs w:val="21"/>
              </w:rPr>
              <w:t>分部分项工程中第</w:t>
            </w:r>
            <m:oMath>
              <m:r>
                <m:rPr/>
                <w:rPr>
                  <w:rFonts w:hint="default" w:ascii="Cambria Math" w:hAnsi="Cambria Math"/>
                  <w:szCs w:val="21"/>
                </w:rPr>
                <m:t>u</m:t>
              </m:r>
            </m:oMath>
            <w:r>
              <w:rPr>
                <w:szCs w:val="21"/>
              </w:rPr>
              <w:t>个项目的能耗系数（</w:t>
            </w:r>
            <w:r>
              <w:rPr>
                <w:rFonts w:hint="eastAsia"/>
                <w:szCs w:val="21"/>
              </w:rPr>
              <w:t>t/工程量计量单位或采用KWh/工程量计量单位</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u,v</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个项目单位工程量的第</w:t>
            </w:r>
            <m:oMath>
              <m:r>
                <m:rPr/>
                <w:rPr>
                  <w:rFonts w:hint="default" w:ascii="Cambria Math" w:hAnsi="Cambria Math"/>
                  <w:szCs w:val="21"/>
                </w:rPr>
                <m:t>v</m:t>
              </m:r>
            </m:oMath>
            <w:r>
              <w:rPr>
                <w:szCs w:val="21"/>
              </w:rPr>
              <w:t>种</w:t>
            </w:r>
            <w:r>
              <w:rPr>
                <w:rFonts w:hint="eastAsia"/>
              </w:rPr>
              <w:t>机械设备的台班消耗量（台班）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个项目第</w:t>
            </w:r>
            <m:oMath>
              <m:r>
                <m:rPr/>
                <w:rPr>
                  <w:rFonts w:hint="default" w:ascii="Cambria Math" w:hAnsi="Cambria Math"/>
                  <w:szCs w:val="21"/>
                </w:rPr>
                <m:t>v</m:t>
              </m:r>
            </m:oMath>
            <w:r>
              <w:rPr>
                <w:szCs w:val="21"/>
              </w:rPr>
              <w:t>种</w:t>
            </w:r>
            <w:r>
              <w:rPr>
                <w:rFonts w:hint="eastAsia"/>
              </w:rPr>
              <w:t>机械设备单位台班的能源消耗量</w:t>
            </w:r>
            <w:r>
              <w:rPr>
                <w:szCs w:val="21"/>
              </w:rPr>
              <w:t>（</w:t>
            </w:r>
            <w:r>
              <w:rPr>
                <w:rFonts w:hint="eastAsia"/>
                <w:szCs w:val="21"/>
              </w:rPr>
              <w:t>t/台班或采用</w:t>
            </w:r>
            <w:r>
              <w:rPr>
                <w:szCs w:val="21"/>
              </w:rPr>
              <w:t>K</w:t>
            </w:r>
            <w:r>
              <w:rPr>
                <w:rFonts w:hint="eastAsia"/>
                <w:szCs w:val="21"/>
              </w:rPr>
              <w:t>Wh/台班</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vv,u</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u</m:t>
              </m:r>
            </m:oMath>
            <w:r>
              <w:rPr>
                <w:szCs w:val="21"/>
              </w:rPr>
              <w:t>个项目中，小型施工机具不列入机械设备台班量，但其消耗的能源列入材料的部分能源消耗量（</w:t>
            </w:r>
            <w:r>
              <w:rPr>
                <w:rFonts w:hint="eastAsia"/>
                <w:szCs w:val="21"/>
              </w:rPr>
              <w:t>t或采用</w:t>
            </w:r>
            <w:r>
              <w:rPr>
                <w:szCs w:val="21"/>
              </w:rPr>
              <w:t>K</w:t>
            </w:r>
            <w:r>
              <w:rPr>
                <w:rFonts w:hint="eastAsia"/>
                <w:szCs w:val="21"/>
              </w:rPr>
              <w:t>Wh</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u</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分部分项工程中的项目</w:t>
            </w:r>
            <w:r>
              <w:rPr>
                <w:rFonts w:hint="eastAsia"/>
                <w:szCs w:val="21"/>
              </w:rPr>
              <w:t>编号</w:t>
            </w:r>
            <w:r>
              <w:rPr>
                <w:szCs w:val="21"/>
              </w:rPr>
              <w:t>，</w:t>
            </w:r>
            <m:oMath>
              <m:r>
                <m:rPr/>
                <w:rPr>
                  <w:rFonts w:hint="default" w:ascii="Cambria Math" w:hAnsi="Cambria Math"/>
                </w:rPr>
                <m:t>u=1,2,⋯,U</m:t>
              </m:r>
            </m:oMath>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v</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施工</w:t>
            </w:r>
            <w:r>
              <w:rPr>
                <w:rFonts w:hint="eastAsia"/>
                <w:szCs w:val="21"/>
              </w:rPr>
              <w:t>机械设备的编号，</w:t>
            </w:r>
            <m:oMath>
              <m:r>
                <m:rPr/>
                <w:rPr>
                  <w:rFonts w:hint="eastAsia" w:ascii="Cambria Math" w:hAnsi="Cambria Math"/>
                  <w:szCs w:val="21"/>
                </w:rPr>
                <m:t>v</m:t>
              </m:r>
              <m:r>
                <m:rPr/>
                <w:rPr>
                  <w:rFonts w:hint="default" w:ascii="Cambria Math" w:hAnsi="Cambria Math"/>
                </w:rPr>
                <m:t>=1,2,⋯,V</m:t>
              </m:r>
            </m:oMath>
            <w:r>
              <w:rPr>
                <w:rFonts w:hint="eastAsia" w:ascii="宋体" w:hAnsi="宋体"/>
                <w:bCs/>
                <w:szCs w:val="21"/>
              </w:rPr>
              <w:t>。</w:t>
            </w:r>
          </w:p>
        </w:tc>
      </w:tr>
    </w:tbl>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措施项目总能源消耗量应按公式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5-5和公式4</w:t>
      </w:r>
      <w:r>
        <w:rPr>
          <w:rFonts w:ascii="宋体" w:hAnsi="宋体"/>
          <w:bCs/>
          <w:szCs w:val="21"/>
        </w:rPr>
        <w:t>.</w:t>
      </w:r>
      <w:r>
        <w:rPr>
          <w:rFonts w:hint="eastAsia"/>
          <w:bCs/>
          <w:szCs w:val="21"/>
        </w:rPr>
        <w:t>2</w:t>
      </w:r>
      <w:r>
        <w:rPr>
          <w:rFonts w:ascii="宋体" w:hAnsi="宋体"/>
          <w:bCs/>
          <w:szCs w:val="21"/>
        </w:rPr>
        <w:t>.</w:t>
      </w:r>
      <w:r>
        <w:rPr>
          <w:rFonts w:hint="eastAsia"/>
          <w:bCs/>
          <w:szCs w:val="21"/>
        </w:rPr>
        <w:t>5-6</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E</m:t>
            </m:r>
            <m:ctrlPr>
              <w:rPr>
                <w:rFonts w:hint="default" w:ascii="Cambria Math" w:hAnsi="Cambria Math"/>
                <w:szCs w:val="21"/>
              </w:rPr>
            </m:ctrlPr>
          </m:e>
          <m:sub>
            <m:r>
              <m:rPr/>
              <w:rPr>
                <w:rFonts w:hint="eastAsia" w:ascii="Cambria Math" w:hAnsi="Cambria Math"/>
                <w:szCs w:val="21"/>
              </w:rPr>
              <m:t>cs</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eastAsia" w:ascii="Cambria Math" w:hAnsi="Cambria Math"/>
                <w:szCs w:val="21"/>
              </w:rPr>
              <m:t>x</m:t>
            </m:r>
            <m:r>
              <m:rPr/>
              <w:rPr>
                <w:rFonts w:hint="default" w:ascii="Cambria Math" w:hAnsi="Cambria Math"/>
                <w:szCs w:val="21"/>
              </w:rPr>
              <m:t>=1</m:t>
            </m:r>
            <m:ctrlPr>
              <w:rPr>
                <w:rFonts w:hint="default" w:ascii="Cambria Math" w:hAnsi="Cambria Math"/>
                <w:i/>
                <w:szCs w:val="21"/>
              </w:rPr>
            </m:ctrlPr>
          </m:sub>
          <m:sup>
            <m:r>
              <m:rPr/>
              <w:rPr>
                <w:rFonts w:hint="default" w:ascii="Cambria Math" w:hAnsi="Cambria Math"/>
                <w:szCs w:val="21"/>
              </w:rPr>
              <m:t>X</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5-5</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y=1</m:t>
            </m:r>
            <m:ctrlPr>
              <w:rPr>
                <w:rFonts w:hint="default" w:ascii="Cambria Math" w:hAnsi="Cambria Math"/>
                <w:i/>
                <w:szCs w:val="21"/>
              </w:rPr>
            </m:ctrlPr>
          </m:sub>
          <m:sup>
            <m:r>
              <m:rPr/>
              <w:rPr>
                <w:rFonts w:hint="default" w:ascii="Cambria Math" w:hAnsi="Cambria Math"/>
                <w:szCs w:val="21"/>
              </w:rPr>
              <m:t>Y</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T</m:t>
                </m:r>
                <m:ctrlPr>
                  <w:rPr>
                    <w:rFonts w:hint="default" w:ascii="Cambria Math" w:hAnsi="Cambria Math"/>
                    <w:i/>
                    <w:szCs w:val="21"/>
                  </w:rPr>
                </m:ctrlPr>
              </m:e>
              <m:sub>
                <m:r>
                  <m:rPr/>
                  <w:rPr>
                    <w:rFonts w:hint="default" w:ascii="Cambria Math" w:hAnsi="Cambria Math"/>
                    <w:szCs w:val="21"/>
                  </w:rPr>
                  <m:t>x,y</m:t>
                </m:r>
                <m:ctrlPr>
                  <w:rPr>
                    <w:rFonts w:hint="default" w:ascii="Cambria Math" w:hAnsi="Cambria Math"/>
                    <w:i/>
                    <w:szCs w:val="21"/>
                  </w:rPr>
                </m:ctrlPr>
              </m:sub>
            </m:sSub>
            <m:ctrlPr>
              <w:rPr>
                <w:rFonts w:hint="default" w:ascii="Cambria Math" w:hAnsi="Cambria Math"/>
                <w:i/>
                <w:szCs w:val="21"/>
              </w:rPr>
            </m:ctrlPr>
          </m:e>
        </m:nary>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y</m:t>
            </m:r>
            <m:ctrlPr>
              <w:rPr>
                <w:rFonts w:hint="default" w:ascii="Cambria Math" w:hAnsi="Cambria Math"/>
                <w:i/>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5-6</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Q</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szCs w:val="21"/>
              </w:rPr>
              <w:t>措施项目中第</w:t>
            </w:r>
            <m:oMath>
              <m:r>
                <m:rPr/>
                <w:rPr>
                  <w:rFonts w:hint="default" w:ascii="Cambria Math" w:hAnsi="Cambria Math"/>
                  <w:szCs w:val="21"/>
                </w:rPr>
                <m:t>x</m:t>
              </m:r>
            </m:oMath>
            <w:r>
              <w:rPr>
                <w:szCs w:val="21"/>
              </w:rPr>
              <w:t>个项目的工程量（工程量计量单位）</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cs,x</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szCs w:val="21"/>
              </w:rPr>
              <w:t>措施项目中第</w:t>
            </w:r>
            <m:oMath>
              <m:r>
                <m:rPr/>
                <w:rPr>
                  <w:rFonts w:hint="default" w:ascii="Cambria Math" w:hAnsi="Cambria Math"/>
                  <w:szCs w:val="21"/>
                </w:rPr>
                <m:t>x</m:t>
              </m:r>
            </m:oMath>
            <w:r>
              <w:rPr>
                <w:szCs w:val="21"/>
              </w:rPr>
              <w:t>个项目的能耗系数（</w:t>
            </w:r>
            <w:r>
              <w:rPr>
                <w:rFonts w:hint="eastAsia"/>
                <w:szCs w:val="21"/>
              </w:rPr>
              <w:t>t/工程量计量单位或采用KWh/工程量计量单位</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T</m:t>
                    </m:r>
                    <m:ctrlPr>
                      <w:rPr>
                        <w:rFonts w:hint="default" w:ascii="Cambria Math" w:hAnsi="Cambria Math"/>
                        <w:i/>
                        <w:szCs w:val="21"/>
                      </w:rPr>
                    </m:ctrlPr>
                  </m:e>
                  <m:sub>
                    <m:r>
                      <m:rPr/>
                      <w:rPr>
                        <w:rFonts w:hint="default" w:ascii="Cambria Math" w:hAnsi="Cambria Math"/>
                        <w:szCs w:val="21"/>
                      </w:rPr>
                      <m:t>x,y</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个措施项目单位工程量的第</w:t>
            </w:r>
            <m:oMath>
              <m:r>
                <m:rPr/>
                <w:rPr>
                  <w:rFonts w:hint="default" w:ascii="Cambria Math" w:hAnsi="Cambria Math"/>
                  <w:szCs w:val="21"/>
                </w:rPr>
                <m:t>y</m:t>
              </m:r>
            </m:oMath>
            <w:r>
              <w:rPr>
                <w:szCs w:val="21"/>
              </w:rPr>
              <w:t>种</w:t>
            </w:r>
            <w:r>
              <w:rPr>
                <w:rFonts w:hint="eastAsia"/>
              </w:rPr>
              <w:t>机械设备的台班量（台班）</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szCs w:val="21"/>
              </w:rPr>
            </w:pPr>
            <m:oMathPara>
              <m:oMath>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y</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第</w:t>
            </w:r>
            <m:oMath>
              <m:r>
                <m:rPr/>
                <w:rPr>
                  <w:rFonts w:hint="default" w:ascii="Cambria Math" w:hAnsi="Cambria Math"/>
                  <w:szCs w:val="21"/>
                </w:rPr>
                <m:t>x</m:t>
              </m:r>
            </m:oMath>
            <w:r>
              <w:rPr>
                <w:szCs w:val="21"/>
              </w:rPr>
              <w:t>个项目第</w:t>
            </w:r>
            <m:oMath>
              <m:r>
                <m:rPr/>
                <w:rPr>
                  <w:rFonts w:hint="default" w:ascii="Cambria Math" w:hAnsi="Cambria Math"/>
                  <w:szCs w:val="21"/>
                </w:rPr>
                <m:t>y</m:t>
              </m:r>
            </m:oMath>
            <w:r>
              <w:rPr>
                <w:szCs w:val="21"/>
              </w:rPr>
              <w:t>种</w:t>
            </w:r>
            <w:r>
              <w:rPr>
                <w:rFonts w:hint="eastAsia"/>
              </w:rPr>
              <w:t>机械设备单位台班的能源消耗量</w:t>
            </w:r>
            <w:r>
              <w:rPr>
                <w:szCs w:val="21"/>
              </w:rPr>
              <w:t>（</w:t>
            </w:r>
            <w:r>
              <w:rPr>
                <w:rFonts w:hint="eastAsia"/>
                <w:szCs w:val="21"/>
              </w:rPr>
              <w:t>t/台班或采用</w:t>
            </w:r>
            <w:r>
              <w:rPr>
                <w:szCs w:val="21"/>
              </w:rPr>
              <w:t>K</w:t>
            </w:r>
            <w:r>
              <w:rPr>
                <w:rFonts w:hint="eastAsia"/>
                <w:szCs w:val="21"/>
              </w:rPr>
              <w:t>Wh/台班</w:t>
            </w:r>
            <w:r>
              <w:rPr>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x</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1"/>
              </w:rPr>
              <w:t>措施</w:t>
            </w:r>
            <w:r>
              <w:rPr>
                <w:szCs w:val="21"/>
              </w:rPr>
              <w:t>项目</w:t>
            </w:r>
            <w:r>
              <w:rPr>
                <w:rFonts w:hint="eastAsia"/>
                <w:szCs w:val="21"/>
              </w:rPr>
              <w:t>编号</w:t>
            </w:r>
            <w:r>
              <w:rPr>
                <w:szCs w:val="21"/>
              </w:rPr>
              <w:t>，</w:t>
            </w:r>
            <m:oMath>
              <m:r>
                <m:rPr/>
                <w:rPr>
                  <w:rFonts w:hint="default" w:ascii="Cambria Math" w:hAnsi="Cambria Math"/>
                </w:rPr>
                <m:t>x=1,2,⋯,X</m:t>
              </m:r>
            </m:oMath>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y</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szCs w:val="21"/>
              </w:rPr>
              <w:t>施工</w:t>
            </w:r>
            <w:r>
              <w:rPr>
                <w:rFonts w:hint="eastAsia"/>
                <w:szCs w:val="21"/>
              </w:rPr>
              <w:t>机械设备的编号，</w:t>
            </w:r>
            <m:oMath>
              <m:r>
                <m:rPr/>
                <w:rPr>
                  <w:rFonts w:hint="default" w:ascii="Cambria Math" w:hAnsi="Cambria Math"/>
                  <w:szCs w:val="21"/>
                </w:rPr>
                <m:t>y</m:t>
              </m:r>
              <m:r>
                <m:rPr/>
                <w:rPr>
                  <w:rFonts w:hint="default" w:ascii="Cambria Math" w:hAnsi="Cambria Math"/>
                </w:rPr>
                <m:t>=1,2,⋯,Y</m:t>
              </m:r>
            </m:oMath>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运营维护阶段的碳排放计算公式</w:t>
      </w:r>
    </w:p>
    <w:p>
      <w:pPr>
        <w:spacing w:line="240" w:lineRule="auto"/>
        <w:ind w:firstLine="421" w:firstLineChars="200"/>
        <w:rPr>
          <w:bCs/>
          <w:szCs w:val="21"/>
        </w:rPr>
      </w:pPr>
      <w:r>
        <w:rPr>
          <w:rFonts w:hint="eastAsia"/>
          <w:b/>
          <w:bCs/>
          <w:szCs w:val="21"/>
        </w:rPr>
        <w:t>1</w:t>
      </w:r>
      <w:r>
        <w:rPr>
          <w:rFonts w:hint="eastAsia"/>
          <w:szCs w:val="21"/>
        </w:rPr>
        <w:t xml:space="preserve"> </w:t>
      </w:r>
      <w:r>
        <w:rPr>
          <w:szCs w:val="21"/>
        </w:rPr>
        <w:t xml:space="preserve"> 应</w:t>
      </w:r>
      <w:r>
        <w:rPr>
          <w:rFonts w:hint="eastAsia"/>
          <w:bCs/>
          <w:szCs w:val="21"/>
        </w:rPr>
        <w:t>包括照明、通风、动力系统、废弃物的回收、日常维护及可再生能源利用等运营维护道路工程产生的碳排放；</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运营维护阶段的碳排放应按公式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6-1、公式4</w:t>
      </w:r>
      <w:r>
        <w:rPr>
          <w:rFonts w:ascii="宋体" w:hAnsi="宋体"/>
          <w:bCs/>
          <w:szCs w:val="21"/>
        </w:rPr>
        <w:t>.</w:t>
      </w:r>
      <w:r>
        <w:rPr>
          <w:rFonts w:hint="eastAsia"/>
          <w:bCs/>
          <w:szCs w:val="21"/>
        </w:rPr>
        <w:t>2</w:t>
      </w:r>
      <w:r>
        <w:rPr>
          <w:rFonts w:ascii="宋体" w:hAnsi="宋体"/>
          <w:bCs/>
          <w:szCs w:val="21"/>
        </w:rPr>
        <w:t>.</w:t>
      </w:r>
      <w:r>
        <w:rPr>
          <w:rFonts w:hint="eastAsia"/>
          <w:bCs/>
          <w:szCs w:val="21"/>
        </w:rPr>
        <w:t>6-2和公式4</w:t>
      </w:r>
      <w:r>
        <w:rPr>
          <w:rFonts w:ascii="宋体" w:hAnsi="宋体"/>
          <w:bCs/>
          <w:szCs w:val="21"/>
        </w:rPr>
        <w:t>.</w:t>
      </w:r>
      <w:r>
        <w:rPr>
          <w:rFonts w:hint="eastAsia"/>
          <w:bCs/>
          <w:szCs w:val="21"/>
        </w:rPr>
        <w:t>2</w:t>
      </w:r>
      <w:r>
        <w:rPr>
          <w:rFonts w:ascii="宋体" w:hAnsi="宋体"/>
          <w:bCs/>
          <w:szCs w:val="21"/>
        </w:rPr>
        <w:t>.</w:t>
      </w:r>
      <w:r>
        <w:rPr>
          <w:rFonts w:hint="eastAsia"/>
          <w:bCs/>
          <w:szCs w:val="21"/>
        </w:rPr>
        <w:t>6-3</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CL</m:t>
            </m:r>
            <m:ctrlPr>
              <w:rPr>
                <w:rFonts w:hint="default" w:ascii="Cambria Math" w:hAnsi="Cambria Math"/>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6-1</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p=1</m:t>
            </m:r>
            <m:ctrlPr>
              <w:rPr>
                <w:rFonts w:hint="default" w:ascii="Cambria Math" w:hAnsi="Cambria Math"/>
                <w:i/>
                <w:szCs w:val="21"/>
              </w:rPr>
            </m:ctrlPr>
          </m:sub>
          <m:sup>
            <m:r>
              <m:rPr/>
              <w:rPr>
                <w:rFonts w:hint="default" w:ascii="Cambria Math" w:hAnsi="Cambria Math"/>
                <w:szCs w:val="21"/>
              </w:rPr>
              <m:t>P</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E</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p</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6-2</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WCL</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s=1</m:t>
            </m:r>
            <m:ctrlPr>
              <w:rPr>
                <w:rFonts w:hint="default" w:ascii="Cambria Math" w:hAnsi="Cambria Math"/>
                <w:i/>
                <w:szCs w:val="21"/>
              </w:rPr>
            </m:ctrlPr>
          </m:sub>
          <m:sup>
            <m:r>
              <m:rPr/>
              <w:rPr>
                <w:rFonts w:hint="default" w:ascii="Cambria Math" w:hAnsi="Cambria Math"/>
                <w:szCs w:val="21"/>
              </w:rPr>
              <m:t>S</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6-3</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NY</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运营维护阶段的能源消耗产生的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default" w:ascii="Cambria Math" w:hAnsi="Cambria Math"/>
                        <w:szCs w:val="21"/>
                      </w:rPr>
                      <m:t>Y</m:t>
                    </m:r>
                    <m:r>
                      <m:rPr/>
                      <w:rPr>
                        <w:rFonts w:hint="eastAsia" w:ascii="Cambria Math" w:hAnsi="Cambria Math"/>
                        <w:szCs w:val="21"/>
                      </w:rPr>
                      <m:t>W</m:t>
                    </m:r>
                    <m:r>
                      <m:rPr/>
                      <w:rPr>
                        <w:rFonts w:hint="default" w:ascii="Cambria Math" w:hAnsi="Cambria Math"/>
                        <w:szCs w:val="21"/>
                      </w:rPr>
                      <m:t>CL</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运营维护阶段的材料消耗产生的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0"/>
                      </w:rPr>
                    </m:ctrlPr>
                  </m:sSubPr>
                  <m:e>
                    <m:r>
                      <m:rPr/>
                      <w:rPr>
                        <w:rFonts w:hint="default" w:ascii="Cambria Math" w:hAnsi="Cambria Math"/>
                        <w:szCs w:val="20"/>
                      </w:rPr>
                      <m:t>E</m:t>
                    </m:r>
                    <m:ctrlPr>
                      <w:rPr>
                        <w:rFonts w:hint="default" w:ascii="Cambria Math" w:hAnsi="Cambria Math"/>
                        <w:i/>
                        <w:szCs w:val="20"/>
                      </w:rPr>
                    </m:ctrlPr>
                  </m:e>
                  <m:sub>
                    <m:r>
                      <m:rPr/>
                      <w:rPr>
                        <w:rFonts w:hint="default" w:ascii="Cambria Math" w:hAnsi="Cambria Math"/>
                        <w:szCs w:val="20"/>
                      </w:rPr>
                      <m:t>p</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rFonts w:hint="eastAsia"/>
                <w:szCs w:val="20"/>
              </w:rPr>
              <w:t>运营维护阶段第</w:t>
            </w:r>
            <m:oMath>
              <m:r>
                <m:rPr/>
                <w:rPr>
                  <w:rFonts w:hint="default" w:ascii="Cambria Math" w:hAnsi="Cambria Math"/>
                  <w:szCs w:val="20"/>
                </w:rPr>
                <m:t>p</m:t>
              </m:r>
            </m:oMath>
            <w:r>
              <w:rPr>
                <w:rFonts w:hint="eastAsia"/>
              </w:rPr>
              <w:t>种能源的消耗量（t）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0"/>
                      </w:rPr>
                    </m:ctrlPr>
                  </m:sSubPr>
                  <m:e>
                    <m:r>
                      <m:rPr/>
                      <w:rPr>
                        <w:rFonts w:hint="default" w:ascii="Cambria Math" w:hAnsi="Cambria Math"/>
                        <w:szCs w:val="20"/>
                      </w:rPr>
                      <m:t>F</m:t>
                    </m:r>
                    <m:ctrlPr>
                      <w:rPr>
                        <w:rFonts w:hint="default" w:ascii="Cambria Math" w:hAnsi="Cambria Math"/>
                        <w:i/>
                        <w:szCs w:val="20"/>
                      </w:rPr>
                    </m:ctrlPr>
                  </m:e>
                  <m:sub>
                    <m:r>
                      <m:rPr/>
                      <w:rPr>
                        <w:rFonts w:hint="default" w:ascii="Cambria Math" w:hAnsi="Cambria Math"/>
                        <w:szCs w:val="20"/>
                      </w:rPr>
                      <m:t>p</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运营维护阶段第</w:t>
            </w:r>
            <m:oMath>
              <m:r>
                <m:rPr/>
                <w:rPr>
                  <w:rFonts w:hint="default" w:ascii="Cambria Math" w:hAnsi="Cambria Math"/>
                </w:rPr>
                <m:t>p</m:t>
              </m:r>
            </m:oMath>
            <w:r>
              <w:rPr>
                <w:rFonts w:hint="eastAsia"/>
              </w:rPr>
              <w:t>种能源的碳排放因子（t</w:t>
            </w:r>
            <w:r>
              <w:rPr>
                <w:rFonts w:hint="eastAsia"/>
                <w:szCs w:val="21"/>
              </w:rPr>
              <w:t>CO</w:t>
            </w:r>
            <w:r>
              <w:rPr>
                <w:rFonts w:hint="eastAsia"/>
                <w:szCs w:val="21"/>
                <w:vertAlign w:val="subscript"/>
              </w:rPr>
              <w:t>2e</w:t>
            </w:r>
            <w:r>
              <w:rPr>
                <w:rFonts w:hint="eastAsia"/>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运营维护阶段</w:t>
            </w:r>
            <w:r>
              <w:rPr>
                <w:rFonts w:hint="eastAsia"/>
                <w:szCs w:val="21"/>
              </w:rPr>
              <w:t>第</w:t>
            </w:r>
            <m:oMath>
              <m:r>
                <m:rPr/>
                <w:rPr>
                  <w:rFonts w:hint="default" w:ascii="Cambria Math" w:hAnsi="Cambria Math"/>
                  <w:szCs w:val="21"/>
                </w:rPr>
                <m:t>s</m:t>
              </m:r>
            </m:oMath>
            <w:r>
              <w:rPr>
                <w:rFonts w:hint="eastAsia"/>
                <w:szCs w:val="21"/>
              </w:rPr>
              <w:t>种材料的消耗量（t）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s</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运营维护阶段</w:t>
            </w:r>
            <w:r>
              <w:rPr>
                <w:rFonts w:hint="eastAsia"/>
                <w:szCs w:val="21"/>
              </w:rPr>
              <w:t>第</w:t>
            </w:r>
            <m:oMath>
              <m:r>
                <m:rPr/>
                <w:rPr>
                  <w:rFonts w:hint="default" w:ascii="Cambria Math" w:hAnsi="Cambria Math"/>
                  <w:szCs w:val="21"/>
                </w:rPr>
                <m:t>s</m:t>
              </m:r>
            </m:oMath>
            <w:r>
              <w:rPr>
                <w:rFonts w:hint="eastAsia"/>
                <w:szCs w:val="21"/>
              </w:rPr>
              <w:t>种材料的碳排放因子（tCO</w:t>
            </w:r>
            <w:r>
              <w:rPr>
                <w:rFonts w:hint="eastAsia"/>
                <w:szCs w:val="21"/>
                <w:vertAlign w:val="subscript"/>
              </w:rPr>
              <w:t>2e</w:t>
            </w:r>
            <w:r>
              <w:rPr>
                <w:rFonts w:hint="eastAsia"/>
                <w:szCs w:val="21"/>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szCs w:val="21"/>
              </w:rPr>
            </w:pPr>
            <m:oMathPara>
              <m:oMath>
                <m:r>
                  <m:rPr/>
                  <w:rPr>
                    <w:rFonts w:hint="default" w:ascii="Cambria Math" w:hAnsi="Cambria Math"/>
                  </w:rPr>
                  <m:t>p</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rPr>
              <w:t>能源的种类编号，</w:t>
            </w:r>
            <m:oMath>
              <m:r>
                <m:rPr/>
                <w:rPr>
                  <w:rFonts w:hint="default" w:ascii="Cambria Math" w:hAnsi="Cambria Math"/>
                </w:rPr>
                <m:t>p</m:t>
              </m:r>
              <m:r>
                <m:rPr>
                  <m:sty m:val="p"/>
                </m:rPr>
                <w:rPr>
                  <w:rFonts w:hint="default" w:ascii="Cambria Math" w:hAnsi="Cambria Math"/>
                </w:rPr>
                <m:t>=1,2,⋯,</m:t>
              </m:r>
              <m:r>
                <m:rPr/>
                <w:rPr>
                  <w:rFonts w:hint="eastAsia" w:ascii="Cambria Math" w:hAnsi="Cambria Math"/>
                </w:rPr>
                <m:t>P</m:t>
              </m:r>
            </m:oMath>
            <w:r>
              <w:rPr>
                <w:rFonts w:hint="eastAsia"/>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pPr>
            <m:oMathPara>
              <m:oMath>
                <m:r>
                  <m:rPr/>
                  <w:rPr>
                    <w:rFonts w:hint="default" w:ascii="Cambria Math" w:hAnsi="Cambria Math"/>
                    <w:szCs w:val="21"/>
                  </w:rPr>
                  <m:t>s</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iCs/>
                <w:szCs w:val="21"/>
              </w:rPr>
              <w:t>材料类型编号，</w:t>
            </w:r>
            <m:oMath>
              <m:r>
                <m:rPr/>
                <w:rPr>
                  <w:rFonts w:hint="default" w:ascii="Cambria Math" w:hAnsi="Cambria Math"/>
                  <w:szCs w:val="21"/>
                </w:rPr>
                <m:t>s=1,2,⋯,S</m:t>
              </m:r>
            </m:oMath>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拆除阶段的碳排放计算公式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应采用实际拆除道路工程的能源消耗数据进行核算或采用能耗估算值进行核算；</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bookmarkStart w:id="140" w:name="OLE_LINK150"/>
      <w:bookmarkStart w:id="141" w:name="OLE_LINK151"/>
      <w:r>
        <w:rPr>
          <w:rFonts w:hint="eastAsia"/>
          <w:szCs w:val="21"/>
        </w:rPr>
        <w:t>拆除阶段材料回收产生的碳排放量</w:t>
      </w:r>
      <w:bookmarkEnd w:id="140"/>
      <w:bookmarkEnd w:id="141"/>
      <w:r>
        <w:rPr>
          <w:rFonts w:hint="eastAsia"/>
          <w:szCs w:val="21"/>
        </w:rPr>
        <w:t>应按其所回收材料的50%予以扣除；</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拆除阶段的碳排放应按公式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7-1、公式4</w:t>
      </w:r>
      <w:r>
        <w:rPr>
          <w:rFonts w:ascii="宋体" w:hAnsi="宋体"/>
          <w:bCs/>
          <w:szCs w:val="21"/>
        </w:rPr>
        <w:t>.</w:t>
      </w:r>
      <w:r>
        <w:rPr>
          <w:rFonts w:hint="eastAsia"/>
          <w:bCs/>
          <w:szCs w:val="21"/>
        </w:rPr>
        <w:t>2</w:t>
      </w:r>
      <w:r>
        <w:rPr>
          <w:rFonts w:ascii="宋体" w:hAnsi="宋体"/>
          <w:bCs/>
          <w:szCs w:val="21"/>
        </w:rPr>
        <w:t>.</w:t>
      </w:r>
      <w:r>
        <w:rPr>
          <w:rFonts w:hint="eastAsia"/>
          <w:bCs/>
          <w:szCs w:val="21"/>
        </w:rPr>
        <w:t>7-2和公式4</w:t>
      </w:r>
      <w:r>
        <w:rPr>
          <w:rFonts w:ascii="宋体" w:hAnsi="宋体"/>
          <w:bCs/>
          <w:szCs w:val="21"/>
        </w:rPr>
        <w:t>.</w:t>
      </w:r>
      <w:r>
        <w:rPr>
          <w:rFonts w:hint="eastAsia"/>
          <w:bCs/>
          <w:szCs w:val="21"/>
        </w:rPr>
        <w:t>2</w:t>
      </w:r>
      <w:r>
        <w:rPr>
          <w:rFonts w:ascii="宋体" w:hAnsi="宋体"/>
          <w:bCs/>
          <w:szCs w:val="21"/>
        </w:rPr>
        <w:t>.</w:t>
      </w:r>
      <w:r>
        <w:rPr>
          <w:rFonts w:hint="eastAsia"/>
          <w:bCs/>
          <w:szCs w:val="21"/>
        </w:rPr>
        <w:t>7-3</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r>
          <m:rPr/>
          <w:rPr>
            <w:rFonts w:hint="default" w:ascii="Cambria Math" w:hAnsi="Cambria Math"/>
            <w:szCs w:val="21"/>
          </w:rPr>
          <m:t>−</m:t>
        </m:r>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7-1</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q=1</m:t>
            </m:r>
            <m:ctrlPr>
              <w:rPr>
                <w:rFonts w:hint="default" w:ascii="Cambria Math" w:hAnsi="Cambria Math"/>
                <w:i/>
                <w:szCs w:val="21"/>
              </w:rPr>
            </m:ctrlPr>
          </m:sub>
          <m:sup>
            <m:r>
              <m:rPr/>
              <w:rPr>
                <w:rFonts w:hint="default" w:ascii="Cambria Math" w:hAnsi="Cambria Math"/>
                <w:szCs w:val="21"/>
              </w:rPr>
              <m:t>Q</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N</m:t>
                </m:r>
                <m:ctrlPr>
                  <w:rPr>
                    <w:rFonts w:hint="default" w:ascii="Cambria Math" w:hAnsi="Cambria Math"/>
                    <w:i/>
                    <w:szCs w:val="21"/>
                  </w:rPr>
                </m:ctrlPr>
              </m:e>
              <m:sub>
                <m:r>
                  <m:rPr/>
                  <w:rPr>
                    <w:rFonts w:hint="default" w:ascii="Cambria Math" w:hAnsi="Cambria Math"/>
                    <w:szCs w:val="21"/>
                  </w:rPr>
                  <m:t>q</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q</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7-2</w:t>
      </w:r>
      <w:r>
        <w:rPr>
          <w:rFonts w:hint="eastAsia"/>
          <w:szCs w:val="21"/>
        </w:rPr>
        <w:t>）</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t=1</m:t>
            </m:r>
            <m:ctrlPr>
              <w:rPr>
                <w:rFonts w:hint="default" w:ascii="Cambria Math" w:hAnsi="Cambria Math"/>
                <w:i/>
                <w:szCs w:val="21"/>
              </w:rPr>
            </m:ctrlPr>
          </m:sub>
          <m:sup>
            <m:r>
              <m:rPr/>
              <w:rPr>
                <w:rFonts w:hint="default" w:ascii="Cambria Math" w:hAnsi="Cambria Math"/>
                <w:szCs w:val="21"/>
              </w:rPr>
              <m:t>T</m:t>
            </m:r>
            <m:ctrlPr>
              <w:rPr>
                <w:rFonts w:hint="default" w:ascii="Cambria Math" w:hAnsi="Cambria Math"/>
                <w:i/>
                <w:szCs w:val="21"/>
              </w:rPr>
            </m:ctrlPr>
          </m:sup>
          <m:e>
            <m:r>
              <m:rPr/>
              <w:rPr>
                <w:rFonts w:hint="default" w:ascii="Cambria Math" w:hAnsi="Cambria Math"/>
                <w:szCs w:val="21"/>
              </w:rPr>
              <m:t>0.5</m:t>
            </m:r>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7-3</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CHCNY</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拆除阶段的能源消耗产生的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pPr>
            <m:oMathPara>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CHCCL</m:t>
                    </m:r>
                    <m:ctrlPr>
                      <w:rPr>
                        <w:rFonts w:hint="default" w:ascii="Cambria Math" w:hAnsi="Cambria Math"/>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rPr>
              <w:t>拆除阶段的材料回收产生的</w:t>
            </w:r>
            <w:r>
              <w:t>碳排放量</w:t>
            </w:r>
            <w:r>
              <w:rPr>
                <w:rFonts w:hint="eastAsia"/>
              </w:rPr>
              <w:t>（t</w:t>
            </w:r>
            <w:r>
              <w:rPr>
                <w:rFonts w:hint="eastAsia"/>
                <w:szCs w:val="21"/>
              </w:rPr>
              <w:t>CO</w:t>
            </w:r>
            <w:r>
              <w:rPr>
                <w:rFonts w:hint="eastAsia"/>
                <w:szCs w:val="21"/>
                <w:vertAlign w:val="subscript"/>
              </w:rPr>
              <w:t>2e</w:t>
            </w:r>
            <w:r>
              <w:rPr>
                <w:rFonts w:hint="eastAsia"/>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0"/>
                      </w:rPr>
                    </m:ctrlPr>
                  </m:sSubPr>
                  <m:e>
                    <m:r>
                      <m:rPr/>
                      <w:rPr>
                        <w:rFonts w:hint="default" w:ascii="Cambria Math" w:hAnsi="Cambria Math"/>
                        <w:szCs w:val="20"/>
                      </w:rPr>
                      <m:t>N</m:t>
                    </m:r>
                    <m:ctrlPr>
                      <w:rPr>
                        <w:rFonts w:hint="default" w:ascii="Cambria Math" w:hAnsi="Cambria Math"/>
                        <w:i/>
                        <w:szCs w:val="20"/>
                      </w:rPr>
                    </m:ctrlPr>
                  </m:e>
                  <m:sub>
                    <m:r>
                      <m:rPr/>
                      <w:rPr>
                        <w:rFonts w:hint="default" w:ascii="Cambria Math" w:hAnsi="Cambria Math"/>
                        <w:szCs w:val="20"/>
                      </w:rPr>
                      <m:t>q</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rFonts w:hint="eastAsia"/>
                <w:szCs w:val="20"/>
              </w:rPr>
              <w:t>拆除阶段第</w:t>
            </w:r>
            <m:oMath>
              <m:r>
                <m:rPr/>
                <w:rPr>
                  <w:rFonts w:hint="default" w:ascii="Cambria Math" w:hAnsi="Cambria Math"/>
                </w:rPr>
                <m:t>q</m:t>
              </m:r>
            </m:oMath>
            <w:r>
              <w:rPr>
                <w:rFonts w:hint="eastAsia"/>
              </w:rPr>
              <w:t>种能源的消耗量（t）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0"/>
                      </w:rPr>
                    </m:ctrlPr>
                  </m:sSubPr>
                  <m:e>
                    <m:r>
                      <m:rPr/>
                      <w:rPr>
                        <w:rFonts w:hint="default" w:ascii="Cambria Math" w:hAnsi="Cambria Math"/>
                        <w:szCs w:val="20"/>
                      </w:rPr>
                      <m:t>F</m:t>
                    </m:r>
                    <m:ctrlPr>
                      <w:rPr>
                        <w:rFonts w:hint="default" w:ascii="Cambria Math" w:hAnsi="Cambria Math"/>
                        <w:i/>
                        <w:szCs w:val="20"/>
                      </w:rPr>
                    </m:ctrlPr>
                  </m:e>
                  <m:sub>
                    <m:r>
                      <m:rPr/>
                      <w:rPr>
                        <w:rFonts w:hint="default" w:ascii="Cambria Math" w:hAnsi="Cambria Math"/>
                        <w:szCs w:val="20"/>
                      </w:rPr>
                      <m:t>q</m:t>
                    </m:r>
                    <m:ctrlPr>
                      <w:rPr>
                        <w:rFonts w:hint="default" w:ascii="Cambria Math" w:hAnsi="Cambria Math"/>
                        <w:i/>
                        <w:szCs w:val="20"/>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第</w:t>
            </w:r>
            <m:oMath>
              <m:r>
                <m:rPr/>
                <w:rPr>
                  <w:rFonts w:hint="default" w:ascii="Cambria Math" w:hAnsi="Cambria Math"/>
                </w:rPr>
                <m:t>q</m:t>
              </m:r>
            </m:oMath>
            <w:r>
              <w:rPr>
                <w:rFonts w:hint="eastAsia"/>
              </w:rPr>
              <w:t>种能源的碳排放因子（t</w:t>
            </w:r>
            <w:r>
              <w:rPr>
                <w:rFonts w:hint="eastAsia"/>
                <w:szCs w:val="21"/>
              </w:rPr>
              <w:t>CO</w:t>
            </w:r>
            <w:r>
              <w:rPr>
                <w:rFonts w:hint="eastAsia"/>
                <w:szCs w:val="21"/>
                <w:vertAlign w:val="subscript"/>
              </w:rPr>
              <w:t>2e</w:t>
            </w:r>
            <w:r>
              <w:rPr>
                <w:rFonts w:hint="eastAsia"/>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kern w:val="0"/>
                <w:szCs w:val="20"/>
              </w:rPr>
            </w:pPr>
            <m:oMathPara>
              <m:oMath>
                <m:sSub>
                  <m:sSubPr>
                    <m:ctrlPr>
                      <w:rPr>
                        <w:rFonts w:hint="default" w:ascii="Cambria Math" w:hAnsi="Cambria Math"/>
                        <w:i/>
                        <w:szCs w:val="21"/>
                      </w:rPr>
                    </m:ctrlPr>
                  </m:sSubPr>
                  <m:e>
                    <m:r>
                      <m:rPr/>
                      <w:rPr>
                        <w:rFonts w:hint="default" w:ascii="Cambria Math" w:hAnsi="Cambria Math"/>
                        <w:szCs w:val="21"/>
                      </w:rPr>
                      <m:t>M</m:t>
                    </m:r>
                    <m:ctrlPr>
                      <w:rPr>
                        <w:rFonts w:hint="default" w:ascii="Cambria Math" w:hAnsi="Cambria Math"/>
                        <w:i/>
                        <w:szCs w:val="21"/>
                      </w:rPr>
                    </m:ctrlPr>
                  </m:e>
                  <m:sub>
                    <m:r>
                      <m:rPr/>
                      <w:rPr>
                        <w:rFonts w:hint="eastAsia" w:ascii="Cambria Math" w:hAnsi="Cambria Math"/>
                        <w:szCs w:val="21"/>
                      </w:rPr>
                      <m:t>t</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种材料的回收量（t）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kern w:val="0"/>
                <w:szCs w:val="20"/>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0"/>
              </w:rPr>
              <w:t>拆除阶段</w:t>
            </w:r>
            <w:r>
              <w:rPr>
                <w:rFonts w:hint="eastAsia"/>
                <w:szCs w:val="21"/>
              </w:rPr>
              <w:t>第</w:t>
            </w:r>
            <m:oMath>
              <m:r>
                <m:rPr/>
                <w:rPr>
                  <w:rFonts w:hint="default" w:ascii="Cambria Math" w:hAnsi="Cambria Math"/>
                  <w:szCs w:val="21"/>
                </w:rPr>
                <m:t>t</m:t>
              </m:r>
            </m:oMath>
            <w:r>
              <w:rPr>
                <w:rFonts w:hint="eastAsia"/>
                <w:szCs w:val="21"/>
              </w:rPr>
              <w:t>种材料的碳排放因子（tCO</w:t>
            </w:r>
            <w:r>
              <w:rPr>
                <w:rFonts w:hint="eastAsia"/>
                <w:szCs w:val="21"/>
                <w:vertAlign w:val="subscript"/>
              </w:rPr>
              <w:t>2e</w:t>
            </w:r>
            <w:r>
              <w:rPr>
                <w:rFonts w:hint="eastAsia"/>
                <w:szCs w:val="21"/>
              </w:rPr>
              <w:t>/t）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szCs w:val="21"/>
              </w:rPr>
            </w:pPr>
            <m:oMathPara>
              <m:oMath>
                <m:r>
                  <m:rPr/>
                  <w:rPr>
                    <w:rFonts w:hint="default" w:ascii="Cambria Math" w:hAnsi="Cambria Math"/>
                    <w:kern w:val="0"/>
                    <w:szCs w:val="20"/>
                  </w:rPr>
                  <m:t>q</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rPr>
              <w:t>能源的种类编号，</w:t>
            </w:r>
            <m:oMath>
              <m:r>
                <m:rPr/>
                <w:rPr>
                  <w:rFonts w:hint="default" w:ascii="Cambria Math" w:hAnsi="Cambria Math"/>
                </w:rPr>
                <m:t>q</m:t>
              </m:r>
              <m:r>
                <m:rPr>
                  <m:sty m:val="p"/>
                </m:rPr>
                <w:rPr>
                  <w:rFonts w:hint="default" w:ascii="Cambria Math" w:hAnsi="Cambria Math"/>
                </w:rPr>
                <m:t>=1,2,⋯,</m:t>
              </m:r>
              <m:r>
                <m:rPr/>
                <w:rPr>
                  <w:rFonts w:hint="default" w:ascii="Cambria Math" w:hAnsi="Cambria Math"/>
                </w:rPr>
                <m:t>Q</m:t>
              </m:r>
            </m:oMath>
            <w:r>
              <w:rPr>
                <w:rFonts w:hint="eastAsia"/>
                <w:szCs w:val="21"/>
              </w:rPr>
              <w:t>；</w:t>
            </w:r>
          </w:p>
        </w:tc>
      </w:tr>
    </w:tbl>
    <w:p>
      <w:pPr>
        <w:spacing w:line="240" w:lineRule="auto"/>
        <w:rPr>
          <w:b/>
          <w:bCs/>
          <w:szCs w:val="21"/>
        </w:rPr>
      </w:pP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kern w:val="0"/>
                <w:szCs w:val="20"/>
              </w:rPr>
            </w:pPr>
            <m:oMathPara>
              <m:oMath>
                <m:r>
                  <m:rPr/>
                  <w:rPr>
                    <w:rFonts w:hint="default" w:ascii="Cambria Math" w:hAnsi="Cambria Math"/>
                    <w:szCs w:val="21"/>
                  </w:rPr>
                  <m:t>t</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iCs/>
                <w:szCs w:val="21"/>
              </w:rPr>
              <w:t>材料类型编号，</w:t>
            </w:r>
            <m:oMath>
              <m:r>
                <m:rPr/>
                <w:rPr>
                  <w:rFonts w:hint="default" w:ascii="Cambria Math" w:hAnsi="Cambria Math"/>
                  <w:szCs w:val="21"/>
                </w:rPr>
                <m:t>t=1,2,⋯,T</m:t>
              </m:r>
            </m:oMath>
            <w:r>
              <w:rPr>
                <w:rFonts w:hint="eastAsia" w:ascii="宋体" w:hAnsi="宋体"/>
                <w:bCs/>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碳汇计算公式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应根据绿地类型、植被的固碳能力、植被的种类和数量核算；</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szCs w:val="21"/>
        </w:rPr>
        <w:t>应按照平均单位面积CO</w:t>
      </w:r>
      <w:r>
        <w:rPr>
          <w:rFonts w:hint="eastAsia"/>
          <w:szCs w:val="21"/>
          <w:vertAlign w:val="subscript"/>
        </w:rPr>
        <w:t>2</w:t>
      </w:r>
      <w:r>
        <w:rPr>
          <w:rFonts w:hint="eastAsia"/>
          <w:szCs w:val="21"/>
        </w:rPr>
        <w:t>固定量指标来计算乔木、灌木、草地等不同类型植被的固碳能力；</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碳汇应按公式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8</w:t>
      </w:r>
      <w:r>
        <w:rPr>
          <w:rFonts w:hint="eastAsia"/>
          <w:szCs w:val="21"/>
        </w:rPr>
        <w:t>计算：</w:t>
      </w:r>
    </w:p>
    <w:p>
      <w:pPr>
        <w:tabs>
          <w:tab w:val="center" w:leader="dot" w:pos="4679"/>
        </w:tabs>
        <w:spacing w:line="300" w:lineRule="auto"/>
        <w:jc w:val="right"/>
        <w:rPr>
          <w:szCs w:val="21"/>
        </w:rPr>
      </w:pPr>
      <m:oMath>
        <m:sSub>
          <m:sSubPr>
            <m:ctrlPr>
              <w:rPr>
                <w:rFonts w:hint="default" w:ascii="Cambria Math" w:hAnsi="Cambria Math"/>
                <w:szCs w:val="21"/>
              </w:rPr>
            </m:ctrlPr>
          </m:sSubPr>
          <m:e>
            <m:r>
              <m:rPr/>
              <w:rPr>
                <w:rFonts w:hint="default" w:ascii="Cambria Math" w:hAnsi="Cambria Math"/>
                <w:szCs w:val="21"/>
              </w:rPr>
              <m:t>C</m:t>
            </m:r>
            <m:ctrlPr>
              <w:rPr>
                <w:rFonts w:hint="default" w:ascii="Cambria Math" w:hAnsi="Cambria Math"/>
                <w:szCs w:val="21"/>
              </w:rPr>
            </m:ctrlPr>
          </m:e>
          <m:sub>
            <m:r>
              <m:rPr/>
              <w:rPr>
                <w:rFonts w:hint="eastAsia" w:ascii="Cambria Math" w:hAnsi="Cambria Math"/>
                <w:szCs w:val="21"/>
              </w:rPr>
              <m:t>CC</m:t>
            </m:r>
            <m:ctrlPr>
              <w:rPr>
                <w:rFonts w:hint="default" w:ascii="Cambria Math" w:hAnsi="Cambria Math"/>
                <w:szCs w:val="21"/>
              </w:rPr>
            </m:ctrlPr>
          </m:sub>
        </m:sSub>
        <m:r>
          <m:rPr/>
          <w:rPr>
            <w:rFonts w:hint="default" w:ascii="Cambria Math" w:hAnsi="Cambria Math"/>
            <w:szCs w:val="21"/>
          </w:rPr>
          <m:t>=</m:t>
        </m:r>
        <m:nary>
          <m:naryPr>
            <m:chr m:val="∑"/>
            <m:limLoc m:val="subSup"/>
            <m:ctrlPr>
              <w:rPr>
                <w:rFonts w:hint="default" w:ascii="Cambria Math" w:hAnsi="Cambria Math"/>
                <w:i/>
                <w:szCs w:val="21"/>
              </w:rPr>
            </m:ctrlPr>
          </m:naryPr>
          <m:sub>
            <m:r>
              <m:rPr/>
              <w:rPr>
                <w:rFonts w:hint="default" w:ascii="Cambria Math" w:hAnsi="Cambria Math"/>
                <w:szCs w:val="21"/>
              </w:rPr>
              <m:t>w=1</m:t>
            </m:r>
            <m:ctrlPr>
              <w:rPr>
                <w:rFonts w:hint="default" w:ascii="Cambria Math" w:hAnsi="Cambria Math"/>
                <w:i/>
                <w:szCs w:val="21"/>
              </w:rPr>
            </m:ctrlPr>
          </m:sub>
          <m:sup>
            <m:r>
              <m:rPr/>
              <w:rPr>
                <w:rFonts w:hint="default" w:ascii="Cambria Math" w:hAnsi="Cambria Math"/>
                <w:szCs w:val="21"/>
              </w:rPr>
              <m:t>W</m:t>
            </m:r>
            <m:ctrlPr>
              <w:rPr>
                <w:rFonts w:hint="default" w:ascii="Cambria Math" w:hAnsi="Cambria Math"/>
                <w:i/>
                <w:szCs w:val="21"/>
              </w:rPr>
            </m:ctrlPr>
          </m:sup>
          <m:e>
            <m:sSub>
              <m:sSubPr>
                <m:ctrlPr>
                  <w:rPr>
                    <w:rFonts w:hint="default" w:ascii="Cambria Math" w:hAnsi="Cambria Math"/>
                    <w:i/>
                    <w:szCs w:val="21"/>
                  </w:rPr>
                </m:ctrlPr>
              </m:sSubPr>
              <m:e>
                <m:r>
                  <m:rPr/>
                  <w:rPr>
                    <w:rFonts w:hint="eastAsia" w:ascii="Cambria Math" w:hAnsi="Cambria Math"/>
                    <w:szCs w:val="21"/>
                  </w:rPr>
                  <m:t>C</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r>
              <m:rPr/>
              <w:rPr>
                <w:rFonts w:hint="default" w:ascii="Cambria Math" w:hAnsi="Cambria Math"/>
                <w:szCs w:val="21"/>
              </w:rPr>
              <m:t>×</m:t>
            </m:r>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ctrlPr>
              <w:rPr>
                <w:rFonts w:hint="default" w:ascii="Cambria Math" w:hAnsi="Cambria Math"/>
                <w:i/>
                <w:szCs w:val="21"/>
              </w:rPr>
            </m:ctrlPr>
          </m:e>
        </m:nary>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8</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eastAsia" w:ascii="Cambria Math" w:hAnsi="Cambria Math"/>
                        <w:szCs w:val="21"/>
                      </w:rPr>
                      <m:t>C</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种碳汇的面积（m</w:t>
            </w:r>
            <w:r>
              <w:rPr>
                <w:rFonts w:hint="eastAsia"/>
                <w:szCs w:val="21"/>
                <w:vertAlign w:val="superscript"/>
              </w:rPr>
              <w:t>2</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F</m:t>
                    </m:r>
                    <m:ctrlPr>
                      <w:rPr>
                        <w:rFonts w:hint="default" w:ascii="Cambria Math" w:hAnsi="Cambria Math"/>
                        <w:i/>
                        <w:szCs w:val="21"/>
                      </w:rPr>
                    </m:ctrlPr>
                  </m:e>
                  <m:sub>
                    <m:r>
                      <m:rPr/>
                      <w:rPr>
                        <w:rFonts w:hint="default" w:ascii="Cambria Math" w:hAnsi="Cambria Math"/>
                        <w:szCs w:val="21"/>
                      </w:rPr>
                      <m:t>w</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1"/>
              </w:rPr>
              <w:t>第</w:t>
            </w:r>
            <m:oMath>
              <m:r>
                <m:rPr/>
                <w:rPr>
                  <w:rFonts w:hint="default" w:ascii="Cambria Math" w:hAnsi="Cambria Math"/>
                  <w:szCs w:val="21"/>
                </w:rPr>
                <m:t>w</m:t>
              </m:r>
            </m:oMath>
            <w:r>
              <w:rPr>
                <w:rFonts w:hint="eastAsia"/>
                <w:szCs w:val="21"/>
              </w:rPr>
              <w:t>种碳汇的碳汇因子（tCO</w:t>
            </w:r>
            <w:r>
              <w:rPr>
                <w:rFonts w:hint="eastAsia"/>
                <w:szCs w:val="21"/>
                <w:vertAlign w:val="subscript"/>
              </w:rPr>
              <w:t>2e</w:t>
            </w:r>
            <w:r>
              <w:rPr>
                <w:rFonts w:hint="eastAsia"/>
                <w:szCs w:val="21"/>
              </w:rPr>
              <w:t>/m</w:t>
            </w:r>
            <w:r>
              <w:rPr>
                <w:rFonts w:hint="eastAsia"/>
                <w:szCs w:val="21"/>
                <w:vertAlign w:val="superscript"/>
              </w:rPr>
              <w:t>2</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szCs w:val="21"/>
              </w:rPr>
            </w:pPr>
            <m:oMathPara>
              <m:oMath>
                <m:r>
                  <m:rPr/>
                  <w:rPr>
                    <w:rFonts w:hint="default" w:ascii="Cambria Math" w:hAnsi="Cambria Math"/>
                    <w:szCs w:val="21"/>
                  </w:rPr>
                  <m:t>w</m:t>
                </m:r>
              </m:oMath>
            </m:oMathPara>
          </w:p>
        </w:tc>
        <w:tc>
          <w:tcPr>
            <w:tcW w:w="7823" w:type="dxa"/>
            <w:noWrap w:val="0"/>
            <w:vAlign w:val="top"/>
          </w:tcPr>
          <w:p>
            <w:pPr>
              <w:keepNext/>
              <w:spacing w:line="240" w:lineRule="auto"/>
              <w:ind w:left="420" w:hanging="420" w:hangingChars="200"/>
              <w:jc w:val="left"/>
              <w:rPr>
                <w:rFonts w:eastAsia="黑体"/>
                <w:bCs/>
                <w:szCs w:val="21"/>
              </w:rPr>
            </w:pPr>
            <w:r>
              <w:rPr>
                <w:rFonts w:eastAsia="黑体"/>
                <w:bCs/>
                <w:szCs w:val="21"/>
              </w:rPr>
              <w:t>——</w:t>
            </w:r>
            <w:r>
              <w:rPr>
                <w:rFonts w:hint="eastAsia"/>
                <w:szCs w:val="21"/>
              </w:rPr>
              <w:t>碳汇的种类编号，</w:t>
            </w:r>
            <m:oMath>
              <m:r>
                <m:rPr/>
                <w:rPr>
                  <w:rFonts w:hint="default" w:ascii="Cambria Math" w:hAnsi="Cambria Math"/>
                  <w:szCs w:val="21"/>
                </w:rPr>
                <m:t>w</m:t>
              </m:r>
              <m:r>
                <m:rPr>
                  <m:sty m:val="p"/>
                </m:rPr>
                <w:rPr>
                  <w:rFonts w:hint="default" w:ascii="Cambria Math" w:hAnsi="Cambria Math"/>
                  <w:szCs w:val="21"/>
                </w:rPr>
                <m:t>=1,2,⋯,</m:t>
              </m:r>
              <m:r>
                <m:rPr/>
                <w:rPr>
                  <w:rFonts w:hint="default" w:ascii="Cambria Math" w:hAnsi="Cambria Math"/>
                  <w:szCs w:val="21"/>
                </w:rPr>
                <m:t>W</m:t>
              </m:r>
            </m:oMath>
            <w:r>
              <w:rPr>
                <w:rFonts w:hint="eastAsia"/>
                <w:szCs w:val="21"/>
              </w:rPr>
              <w:t>。</w:t>
            </w:r>
          </w:p>
        </w:tc>
      </w:tr>
    </w:tbl>
    <w:p>
      <w:pPr>
        <w:spacing w:line="240" w:lineRule="auto"/>
        <w:rPr>
          <w:szCs w:val="21"/>
        </w:rPr>
      </w:pPr>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道路工程</w:t>
      </w:r>
      <w:bookmarkStart w:id="142" w:name="OLE_LINK164"/>
      <w:bookmarkStart w:id="143" w:name="OLE_LINK163"/>
      <w:r>
        <w:rPr>
          <w:rFonts w:hint="eastAsia"/>
          <w:szCs w:val="21"/>
        </w:rPr>
        <w:t>碳排放强度</w:t>
      </w:r>
      <w:bookmarkEnd w:id="142"/>
      <w:bookmarkEnd w:id="143"/>
      <w:r>
        <w:rPr>
          <w:rFonts w:hint="eastAsia"/>
          <w:szCs w:val="21"/>
        </w:rPr>
        <w:t>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在道路工程碳排放量的核算基础上，应采用不同功能单位碳排放指标评估碳排放强度；</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szCs w:val="21"/>
        </w:rPr>
        <w:t>功能单位可作为基准单位用来量化道路工程在与其有关的材料生产、材料运输、施工、运行、拆除等相关活动的系统功能。</w:t>
      </w:r>
      <w:r>
        <w:rPr>
          <w:rFonts w:hint="eastAsia"/>
          <w:bCs/>
          <w:szCs w:val="21"/>
        </w:rPr>
        <w:t>根据计算目标不同，常用的功能单位可区分为“整个道路工程”、“分部分项工程及措施项目”、“道路工程长度”等。</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不同功能单位的道路工程碳排放指标应按公式</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9</w:t>
      </w:r>
      <w:r>
        <w:rPr>
          <w:rFonts w:hint="eastAsia"/>
          <w:szCs w:val="21"/>
        </w:rPr>
        <w:t>计算：</w:t>
      </w:r>
    </w:p>
    <w:p>
      <w:pPr>
        <w:tabs>
          <w:tab w:val="center" w:leader="dot" w:pos="4679"/>
        </w:tabs>
        <w:spacing w:line="300" w:lineRule="auto"/>
        <w:jc w:val="right"/>
        <w:rPr>
          <w:rFonts w:cs="Cambria Math"/>
          <w:szCs w:val="21"/>
        </w:rPr>
      </w:pPr>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r>
          <m:rPr/>
          <w:rPr>
            <w:rFonts w:hint="default" w:ascii="Cambria Math" w:hAnsi="Cambria Math"/>
            <w:szCs w:val="21"/>
          </w:rPr>
          <m:t>=</m:t>
        </m:r>
        <m:f>
          <m:fPr>
            <m:ctrlPr>
              <w:rPr>
                <w:rFonts w:hint="default" w:ascii="Cambria Math" w:hAnsi="Cambria Math"/>
                <w:i/>
                <w:szCs w:val="21"/>
              </w:rPr>
            </m:ctrlPr>
          </m:fPr>
          <m:num>
            <m:r>
              <m:rPr/>
              <w:rPr>
                <w:rFonts w:hint="eastAsia" w:ascii="Cambria Math" w:hAnsi="Cambria Math"/>
                <w:szCs w:val="21"/>
              </w:rPr>
              <m:t>C</m:t>
            </m:r>
            <m:ctrlPr>
              <w:rPr>
                <w:rFonts w:hint="default" w:ascii="Cambria Math" w:hAnsi="Cambria Math"/>
                <w:i/>
                <w:szCs w:val="21"/>
              </w:rPr>
            </m:ctrlPr>
          </m:num>
          <m:den>
            <m:sSub>
              <m:sSubPr>
                <m:ctrlPr>
                  <w:rPr>
                    <w:rFonts w:hint="default" w:ascii="Cambria Math" w:hAnsi="Cambria Math"/>
                    <w:i/>
                    <w:szCs w:val="21"/>
                  </w:rPr>
                </m:ctrlPr>
              </m:sSubPr>
              <m:e>
                <m:r>
                  <m:rPr/>
                  <w:rPr>
                    <w:rFonts w:hint="default" w:ascii="Cambria Math" w:hAnsi="Cambria Math"/>
                    <w:szCs w:val="21"/>
                  </w:rPr>
                  <m:t>L</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ctrlPr>
              <w:rPr>
                <w:rFonts w:hint="default" w:ascii="Cambria Math" w:hAnsi="Cambria Math"/>
                <w:i/>
                <w:szCs w:val="21"/>
              </w:rPr>
            </m:ctrlPr>
          </m:den>
        </m:f>
      </m:oMath>
      <w:r>
        <w:rPr>
          <w:rFonts w:hint="eastAsia"/>
          <w:szCs w:val="21"/>
        </w:rPr>
        <w:t xml:space="preserve">                             （</w:t>
      </w:r>
      <w:r>
        <w:rPr>
          <w:rFonts w:hint="eastAsia"/>
          <w:bCs/>
          <w:szCs w:val="21"/>
        </w:rPr>
        <w:t>4</w:t>
      </w:r>
      <w:r>
        <w:rPr>
          <w:rFonts w:ascii="宋体" w:hAnsi="宋体"/>
          <w:bCs/>
          <w:szCs w:val="21"/>
        </w:rPr>
        <w:t>.</w:t>
      </w:r>
      <w:r>
        <w:rPr>
          <w:rFonts w:hint="eastAsia"/>
          <w:bCs/>
          <w:szCs w:val="21"/>
        </w:rPr>
        <w:t>2</w:t>
      </w:r>
      <w:r>
        <w:rPr>
          <w:rFonts w:ascii="宋体" w:hAnsi="宋体"/>
          <w:bCs/>
          <w:szCs w:val="21"/>
        </w:rPr>
        <w:t>.</w:t>
      </w:r>
      <w:r>
        <w:rPr>
          <w:rFonts w:hint="eastAsia"/>
          <w:bCs/>
          <w:szCs w:val="21"/>
        </w:rPr>
        <w:t>9</w:t>
      </w:r>
      <w:r>
        <w:rPr>
          <w:rFonts w:hint="eastAsia"/>
          <w:szCs w:val="21"/>
        </w:rPr>
        <w:t>）</w:t>
      </w:r>
    </w:p>
    <w:p>
      <w:pPr>
        <w:spacing w:line="240" w:lineRule="auto"/>
        <w:jc w:val="left"/>
        <w:rPr>
          <w:szCs w:val="21"/>
        </w:rPr>
      </w:pPr>
      <w:r>
        <w:rPr>
          <w:rFonts w:hint="eastAsia"/>
          <w:szCs w:val="21"/>
        </w:rPr>
        <w:t>式中：</w:t>
      </w:r>
    </w:p>
    <w:tbl>
      <w:tblPr>
        <w:tblStyle w:val="14"/>
        <w:tblW w:w="8631"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C</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7823" w:type="dxa"/>
            <w:noWrap w:val="0"/>
            <w:vAlign w:val="top"/>
          </w:tcPr>
          <w:p>
            <w:pPr>
              <w:keepNext/>
              <w:spacing w:line="240" w:lineRule="auto"/>
              <w:jc w:val="left"/>
              <w:rPr>
                <w:rFonts w:eastAsia="黑体"/>
                <w:bCs/>
                <w:szCs w:val="21"/>
              </w:rPr>
            </w:pPr>
            <w:r>
              <w:rPr>
                <w:rFonts w:eastAsia="黑体"/>
                <w:bCs/>
                <w:szCs w:val="21"/>
              </w:rPr>
              <w:t>——</w:t>
            </w:r>
            <w:r>
              <w:rPr>
                <w:rFonts w:hint="eastAsia"/>
                <w:kern w:val="0"/>
                <w:szCs w:val="21"/>
              </w:rPr>
              <w:t>采用功能单位</w:t>
            </w:r>
            <m:oMath>
              <m:r>
                <m:rPr/>
                <w:rPr>
                  <w:rFonts w:hint="default" w:ascii="Cambria Math" w:hAnsi="Cambria Math"/>
                  <w:kern w:val="0"/>
                  <w:szCs w:val="21"/>
                </w:rPr>
                <m:t>ℎ</m:t>
              </m:r>
            </m:oMath>
            <w:r>
              <w:rPr>
                <w:kern w:val="0"/>
                <w:szCs w:val="21"/>
              </w:rPr>
              <w:t>时的道路工程碳排放指标（</w:t>
            </w:r>
            <w:r>
              <w:rPr>
                <w:rFonts w:hint="eastAsia"/>
                <w:kern w:val="0"/>
                <w:szCs w:val="21"/>
              </w:rPr>
              <w:t>t</w:t>
            </w:r>
            <w:r>
              <w:rPr>
                <w:rFonts w:hint="eastAsia"/>
                <w:szCs w:val="21"/>
              </w:rPr>
              <w:t>CO</w:t>
            </w:r>
            <w:r>
              <w:rPr>
                <w:rFonts w:hint="eastAsia"/>
                <w:szCs w:val="21"/>
                <w:vertAlign w:val="subscript"/>
              </w:rPr>
              <w:t>2e</w:t>
            </w:r>
            <w:r>
              <w:rPr>
                <w:rFonts w:hint="eastAsia"/>
                <w:kern w:val="0"/>
                <w:szCs w:val="21"/>
              </w:rPr>
              <w:t>/功能单位，包括t</w:t>
            </w:r>
            <w:r>
              <w:rPr>
                <w:rFonts w:hint="eastAsia"/>
                <w:szCs w:val="21"/>
              </w:rPr>
              <w:t>CO</w:t>
            </w:r>
            <w:r>
              <w:rPr>
                <w:rFonts w:hint="eastAsia"/>
                <w:szCs w:val="21"/>
                <w:vertAlign w:val="subscript"/>
              </w:rPr>
              <w:t>2e</w:t>
            </w:r>
            <w:r>
              <w:rPr>
                <w:rFonts w:hint="eastAsia"/>
                <w:kern w:val="0"/>
                <w:szCs w:val="21"/>
              </w:rPr>
              <w:t>/km、t</w:t>
            </w:r>
            <w:r>
              <w:rPr>
                <w:rFonts w:hint="eastAsia"/>
                <w:szCs w:val="21"/>
              </w:rPr>
              <w:t>CO</w:t>
            </w:r>
            <w:r>
              <w:rPr>
                <w:rFonts w:hint="eastAsia"/>
                <w:szCs w:val="21"/>
                <w:vertAlign w:val="subscript"/>
              </w:rPr>
              <w:t>2e</w:t>
            </w:r>
            <w:r>
              <w:rPr>
                <w:rFonts w:hint="eastAsia"/>
                <w:kern w:val="0"/>
                <w:szCs w:val="21"/>
              </w:rPr>
              <w:t>/m</w:t>
            </w:r>
            <w:r>
              <w:rPr>
                <w:rFonts w:hint="eastAsia"/>
                <w:kern w:val="0"/>
                <w:szCs w:val="21"/>
                <w:vertAlign w:val="superscript"/>
              </w:rPr>
              <w:t>2</w:t>
            </w:r>
            <w:r>
              <w:rPr>
                <w:rFonts w:hint="eastAsia"/>
                <w:kern w:val="0"/>
                <w:szCs w:val="21"/>
              </w:rPr>
              <w:t>、t</w:t>
            </w:r>
            <w:r>
              <w:rPr>
                <w:rFonts w:hint="eastAsia"/>
                <w:szCs w:val="21"/>
              </w:rPr>
              <w:t>CO</w:t>
            </w:r>
            <w:r>
              <w:rPr>
                <w:rFonts w:hint="eastAsia"/>
                <w:szCs w:val="21"/>
                <w:vertAlign w:val="subscript"/>
              </w:rPr>
              <w:t>2e</w:t>
            </w:r>
            <w:r>
              <w:rPr>
                <w:rFonts w:hint="eastAsia"/>
                <w:kern w:val="0"/>
                <w:szCs w:val="21"/>
              </w:rPr>
              <w:t>/m</w:t>
            </w:r>
            <w:r>
              <w:rPr>
                <w:rFonts w:hint="eastAsia"/>
                <w:kern w:val="0"/>
                <w:szCs w:val="21"/>
                <w:vertAlign w:val="superscript"/>
              </w:rPr>
              <w:t>3</w:t>
            </w:r>
            <w:r>
              <w:rPr>
                <w:rFonts w:hint="eastAsia"/>
                <w:kern w:val="0"/>
                <w:szCs w:val="21"/>
              </w:rPr>
              <w:t>、</w:t>
            </w:r>
            <w:r>
              <w:rPr>
                <w:rFonts w:hint="eastAsia"/>
                <w:bCs/>
                <w:szCs w:val="21"/>
              </w:rPr>
              <w:t>t</w:t>
            </w:r>
            <w:r>
              <w:rPr>
                <w:rFonts w:hint="eastAsia"/>
                <w:szCs w:val="21"/>
              </w:rPr>
              <w:t>CO</w:t>
            </w:r>
            <w:r>
              <w:rPr>
                <w:rFonts w:hint="eastAsia"/>
                <w:szCs w:val="21"/>
                <w:vertAlign w:val="subscript"/>
              </w:rPr>
              <w:t>2e</w:t>
            </w:r>
            <w:r>
              <w:rPr>
                <w:rFonts w:hint="eastAsia"/>
                <w:bCs/>
                <w:szCs w:val="21"/>
              </w:rPr>
              <w:t>/(km•年)</w:t>
            </w:r>
            <w:r>
              <w:rPr>
                <w:rFonts w:hint="eastAsia"/>
                <w:kern w:val="0"/>
                <w:szCs w:val="21"/>
              </w:rPr>
              <w:t>等</w:t>
            </w:r>
            <w:r>
              <w:rPr>
                <w:kern w:val="0"/>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L</m:t>
                    </m:r>
                    <m:ctrlPr>
                      <w:rPr>
                        <w:rFonts w:hint="default" w:ascii="Cambria Math" w:hAnsi="Cambria Math"/>
                        <w:i/>
                        <w:szCs w:val="21"/>
                      </w:rPr>
                    </m:ctrlPr>
                  </m:e>
                  <m:sub>
                    <m:r>
                      <m:rPr/>
                      <w:rPr>
                        <w:rFonts w:hint="default" w:ascii="Cambria Math" w:hAnsi="Cambria Math"/>
                        <w:szCs w:val="21"/>
                      </w:rPr>
                      <m:t>ℎ</m:t>
                    </m:r>
                    <m:ctrlPr>
                      <w:rPr>
                        <w:rFonts w:hint="default" w:ascii="Cambria Math" w:hAnsi="Cambria Math"/>
                        <w:i/>
                        <w:szCs w:val="21"/>
                      </w:rPr>
                    </m:ctrlPr>
                  </m:sub>
                </m:sSub>
              </m:oMath>
            </m:oMathPara>
          </w:p>
        </w:tc>
        <w:tc>
          <w:tcPr>
            <w:tcW w:w="7823" w:type="dxa"/>
            <w:noWrap w:val="0"/>
            <w:vAlign w:val="top"/>
          </w:tcPr>
          <w:p>
            <w:pPr>
              <w:keepNext/>
              <w:spacing w:line="240" w:lineRule="auto"/>
              <w:ind w:left="420" w:hanging="420" w:hangingChars="200"/>
              <w:jc w:val="left"/>
              <w:rPr>
                <w:rFonts w:ascii="Cambria Math" w:hAnsi="Cambria Math" w:eastAsia="黑体"/>
                <w:bCs/>
                <w:szCs w:val="21"/>
              </w:rPr>
            </w:pPr>
            <w:r>
              <w:rPr>
                <w:rFonts w:eastAsia="黑体"/>
                <w:bCs/>
                <w:szCs w:val="21"/>
              </w:rPr>
              <w:t>——</w:t>
            </w:r>
            <w:r>
              <w:rPr>
                <w:szCs w:val="21"/>
              </w:rPr>
              <w:t>功能单位</w:t>
            </w:r>
            <m:oMath>
              <m:r>
                <m:rPr/>
                <w:rPr>
                  <w:rFonts w:hint="default" w:ascii="Cambria Math" w:hAnsi="Cambria Math"/>
                  <w:szCs w:val="21"/>
                </w:rPr>
                <m:t>ℎ</m:t>
              </m:r>
            </m:oMath>
            <w:r>
              <w:rPr>
                <w:szCs w:val="21"/>
              </w:rPr>
              <w:t>的总量（功能单位）</w:t>
            </w:r>
            <w:r>
              <w:rPr>
                <w:rFonts w:hint="eastAsia" w:ascii="宋体" w:hAnsi="宋体"/>
                <w:bCs/>
                <w:szCs w:val="21"/>
              </w:rPr>
              <w:t>。</w:t>
            </w:r>
          </w:p>
        </w:tc>
      </w:tr>
    </w:tbl>
    <w:p>
      <w:pPr>
        <w:spacing w:line="240" w:lineRule="auto"/>
        <w:rPr>
          <w:szCs w:val="21"/>
        </w:rPr>
      </w:pPr>
      <w:bookmarkStart w:id="144" w:name="_Toc160030984"/>
      <w:bookmarkStart w:id="145" w:name="_Toc160032809"/>
      <w:bookmarkStart w:id="146" w:name="_Toc161134666"/>
      <w:bookmarkStart w:id="147" w:name="_Toc160030722"/>
      <w:r>
        <w:rPr>
          <w:rFonts w:hint="eastAsia"/>
          <w:b/>
          <w:bCs/>
          <w:szCs w:val="21"/>
        </w:rPr>
        <w:t>4</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可再生能源计算公式</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可再生能源系统应包括太阳能光伏发电、风力发电、绿电等；</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szCs w:val="21"/>
        </w:rPr>
        <w:t>道路工程碳排放计算应在材料生产、材料运输、施工、运营维护、拆除等阶段扣除可再生能源利用相应抵消的碳排放量；</w:t>
      </w:r>
    </w:p>
    <w:p>
      <w:pPr>
        <w:spacing w:line="240" w:lineRule="auto"/>
        <w:ind w:firstLine="421" w:firstLineChars="200"/>
        <w:rPr>
          <w:rFonts w:cs="宋体"/>
          <w:szCs w:val="21"/>
        </w:rPr>
      </w:pPr>
      <w:r>
        <w:rPr>
          <w:rFonts w:hint="eastAsia"/>
          <w:b/>
          <w:bCs/>
          <w:szCs w:val="21"/>
        </w:rPr>
        <w:t>3</w:t>
      </w:r>
      <w:r>
        <w:rPr>
          <w:rFonts w:hint="eastAsia"/>
          <w:szCs w:val="21"/>
        </w:rPr>
        <w:t xml:space="preserve"> </w:t>
      </w:r>
      <w:r>
        <w:rPr>
          <w:szCs w:val="21"/>
        </w:rPr>
        <w:t xml:space="preserve"> </w:t>
      </w:r>
      <w:r>
        <w:rPr>
          <w:rFonts w:hint="eastAsia"/>
          <w:szCs w:val="21"/>
        </w:rPr>
        <w:t>可再生能源计算方法</w:t>
      </w:r>
      <w:bookmarkStart w:id="148" w:name="OLE_LINK145"/>
      <w:bookmarkStart w:id="149" w:name="OLE_LINK142"/>
      <w:r>
        <w:rPr>
          <w:rFonts w:hint="eastAsia"/>
          <w:szCs w:val="21"/>
        </w:rPr>
        <w:t>应参考</w:t>
      </w:r>
      <w:r>
        <w:rPr>
          <w:rFonts w:hint="eastAsia" w:cs="宋体"/>
          <w:szCs w:val="21"/>
        </w:rPr>
        <w:t>《建筑碳排放计算标准》GB/T 51366的要求</w:t>
      </w:r>
      <w:bookmarkEnd w:id="148"/>
      <w:bookmarkEnd w:id="149"/>
      <w:r>
        <w:rPr>
          <w:rFonts w:hint="eastAsia" w:cs="宋体"/>
          <w:szCs w:val="21"/>
        </w:rPr>
        <w:t>。</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4</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计 算 流 程</w:t>
      </w:r>
      <w:bookmarkEnd w:id="144"/>
      <w:bookmarkEnd w:id="145"/>
      <w:bookmarkEnd w:id="146"/>
      <w:bookmarkEnd w:id="147"/>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道路工程碳排放数据应按照以下方面获取：</w:t>
      </w:r>
    </w:p>
    <w:p>
      <w:pPr>
        <w:spacing w:line="240" w:lineRule="auto"/>
        <w:ind w:firstLine="421" w:firstLineChars="200"/>
        <w:rPr>
          <w:szCs w:val="21"/>
        </w:rPr>
      </w:pPr>
      <w:bookmarkStart w:id="150" w:name="OLE_LINK167"/>
      <w:r>
        <w:rPr>
          <w:b/>
          <w:bCs/>
          <w:szCs w:val="21"/>
        </w:rPr>
        <w:t>1</w:t>
      </w:r>
      <w:r>
        <w:rPr>
          <w:rFonts w:hint="eastAsia"/>
          <w:szCs w:val="21"/>
        </w:rPr>
        <w:t xml:space="preserve"> </w:t>
      </w:r>
      <w:r>
        <w:rPr>
          <w:szCs w:val="21"/>
        </w:rPr>
        <w:t xml:space="preserve"> </w:t>
      </w:r>
      <w:bookmarkEnd w:id="150"/>
      <w:r>
        <w:rPr>
          <w:szCs w:val="21"/>
        </w:rPr>
        <w:t>在</w:t>
      </w:r>
      <w:r>
        <w:rPr>
          <w:rFonts w:hint="eastAsia"/>
          <w:szCs w:val="21"/>
        </w:rPr>
        <w:t>工程可行性研究、初步设计、施工图设计阶段，依据单项工程、单位工程、分部工程、分项工程及作业的工程清单</w:t>
      </w:r>
      <w:bookmarkStart w:id="151" w:name="OLE_LINK169"/>
      <w:bookmarkStart w:id="152" w:name="OLE_LINK168"/>
      <w:r>
        <w:rPr>
          <w:rFonts w:hint="eastAsia"/>
          <w:szCs w:val="21"/>
        </w:rPr>
        <w:t>获取碳排放数据</w:t>
      </w:r>
      <w:bookmarkEnd w:id="151"/>
      <w:bookmarkEnd w:id="152"/>
      <w:r>
        <w:rPr>
          <w:rFonts w:hint="eastAsia"/>
          <w:szCs w:val="21"/>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在竣工结算与决算阶段，依据竣工文件、工程量清单、施工汇总表、结算与决算清单获取碳排放数据；</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在</w:t>
      </w:r>
      <w:r>
        <w:rPr>
          <w:rFonts w:hint="eastAsia"/>
          <w:szCs w:val="21"/>
        </w:rPr>
        <w:t>运营维护与拆除阶段，依据照明、通风、动力系统、废弃物回收、日常维护与拆除、可再生能源抵消有关的材料、能源消耗量获取碳排放数据。</w:t>
      </w:r>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道路工程碳排放计算应按照以下优先次序选择数据质量较高的排放因子：</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参考本标准推荐的排放因子；</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参考主管部门、行业协会公布的排放因子；</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参考经过第三方审核的供应商和生产商的排放因子；</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根据深圳市所在区域，采用由国家或地方相关机构公布的区域电网平均排放因子；</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szCs w:val="21"/>
        </w:rPr>
        <w:t>按照机械设备单位台班</w:t>
      </w:r>
      <w:bookmarkStart w:id="153" w:name="OLE_LINK67"/>
      <w:bookmarkStart w:id="154" w:name="OLE_LINK63"/>
      <w:r>
        <w:rPr>
          <w:rFonts w:hint="eastAsia"/>
          <w:szCs w:val="21"/>
        </w:rPr>
        <w:t>消耗的能源用量</w:t>
      </w:r>
      <w:bookmarkEnd w:id="153"/>
      <w:bookmarkEnd w:id="154"/>
      <w:r>
        <w:rPr>
          <w:rFonts w:hint="eastAsia"/>
          <w:szCs w:val="21"/>
        </w:rPr>
        <w:t>计入机械设备的排放因子；</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按照单位运输方式消耗的能源用量计入运输服务的排放因子；</w:t>
      </w:r>
    </w:p>
    <w:p>
      <w:pPr>
        <w:spacing w:line="240" w:lineRule="auto"/>
        <w:ind w:firstLine="421" w:firstLineChars="200"/>
        <w:rPr>
          <w:szCs w:val="21"/>
        </w:rPr>
      </w:pPr>
      <w:bookmarkStart w:id="155" w:name="OLE_LINK172"/>
      <w:r>
        <w:rPr>
          <w:rFonts w:hint="eastAsia"/>
          <w:b/>
          <w:bCs/>
          <w:szCs w:val="21"/>
        </w:rPr>
        <w:t>7</w:t>
      </w:r>
      <w:r>
        <w:rPr>
          <w:rFonts w:hint="eastAsia"/>
          <w:szCs w:val="21"/>
        </w:rPr>
        <w:t xml:space="preserve"> </w:t>
      </w:r>
      <w:r>
        <w:rPr>
          <w:szCs w:val="21"/>
        </w:rPr>
        <w:t xml:space="preserve"> </w:t>
      </w:r>
      <w:r>
        <w:rPr>
          <w:rFonts w:hint="eastAsia"/>
          <w:bCs/>
          <w:szCs w:val="21"/>
        </w:rPr>
        <w:t>参考特定地区或区域的权威数据库内的排放因子；</w:t>
      </w:r>
    </w:p>
    <w:p>
      <w:pPr>
        <w:spacing w:line="240" w:lineRule="auto"/>
        <w:ind w:firstLine="421" w:firstLineChars="200"/>
        <w:rPr>
          <w:bCs/>
          <w:szCs w:val="21"/>
        </w:rPr>
      </w:pPr>
      <w:r>
        <w:rPr>
          <w:rFonts w:hint="eastAsia"/>
          <w:b/>
          <w:bCs/>
          <w:szCs w:val="21"/>
        </w:rPr>
        <w:t xml:space="preserve">8  </w:t>
      </w:r>
      <w:r>
        <w:rPr>
          <w:rFonts w:hint="eastAsia"/>
          <w:bCs/>
          <w:szCs w:val="21"/>
        </w:rPr>
        <w:t>参考国家或国家区域的权威数据库内的排放因子；</w:t>
      </w:r>
    </w:p>
    <w:bookmarkEnd w:id="155"/>
    <w:p>
      <w:pPr>
        <w:spacing w:line="240" w:lineRule="auto"/>
        <w:ind w:firstLine="421" w:firstLineChars="200"/>
        <w:rPr>
          <w:bCs/>
          <w:szCs w:val="21"/>
        </w:rPr>
      </w:pPr>
      <w:r>
        <w:rPr>
          <w:rFonts w:hint="eastAsia"/>
          <w:b/>
          <w:bCs/>
          <w:szCs w:val="21"/>
        </w:rPr>
        <w:t xml:space="preserve">9  </w:t>
      </w:r>
      <w:r>
        <w:rPr>
          <w:rFonts w:hint="eastAsia"/>
          <w:bCs/>
          <w:szCs w:val="21"/>
        </w:rPr>
        <w:t>参考国际通用的权威数据库内的排放因子；</w:t>
      </w:r>
    </w:p>
    <w:p>
      <w:pPr>
        <w:spacing w:line="240" w:lineRule="auto"/>
        <w:ind w:firstLine="421" w:firstLineChars="200"/>
        <w:rPr>
          <w:szCs w:val="21"/>
        </w:rPr>
      </w:pPr>
      <w:r>
        <w:rPr>
          <w:rFonts w:hint="eastAsia"/>
          <w:b/>
          <w:bCs/>
          <w:szCs w:val="21"/>
        </w:rPr>
        <w:t xml:space="preserve">10  </w:t>
      </w:r>
      <w:r>
        <w:rPr>
          <w:rFonts w:hint="eastAsia"/>
          <w:szCs w:val="21"/>
        </w:rPr>
        <w:t>参考公开数据库、报告、文献、科研成果等权威资料提供的排放因子。</w:t>
      </w:r>
    </w:p>
    <w:p>
      <w:pPr>
        <w:spacing w:line="240" w:lineRule="auto"/>
        <w:rPr>
          <w:bCs/>
          <w:szCs w:val="21"/>
        </w:rPr>
      </w:pPr>
      <w:bookmarkStart w:id="156" w:name="OLE_LINK37"/>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bCs/>
          <w:szCs w:val="21"/>
        </w:rPr>
        <w:t>当道路工程碳排放因子数据缺乏时，按</w:t>
      </w:r>
      <w:bookmarkEnd w:id="156"/>
      <w:bookmarkStart w:id="157" w:name="OLE_LINK36"/>
      <w:bookmarkStart w:id="158" w:name="OLE_LINK32"/>
      <w:r>
        <w:rPr>
          <w:rFonts w:hint="eastAsia"/>
          <w:bCs/>
          <w:szCs w:val="21"/>
        </w:rPr>
        <w:t>全寿命周期理论核定排放边界和特征获取排放因子</w:t>
      </w:r>
      <w:bookmarkEnd w:id="157"/>
      <w:bookmarkEnd w:id="158"/>
      <w:r>
        <w:rPr>
          <w:rFonts w:hint="eastAsia"/>
          <w:bCs/>
          <w:szCs w:val="21"/>
        </w:rPr>
        <w:t>。</w:t>
      </w:r>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当道路工程项目需要自采材料时，按照为自采材料而投入的机械设备台班耗能核算排放因子</w:t>
      </w:r>
      <w:r>
        <w:rPr>
          <w:szCs w:val="21"/>
        </w:rPr>
        <w:t>。</w:t>
      </w:r>
    </w:p>
    <w:p>
      <w:pPr>
        <w:spacing w:line="240" w:lineRule="auto"/>
        <w:rPr>
          <w:szCs w:val="21"/>
        </w:rPr>
      </w:pPr>
      <w:r>
        <w:rPr>
          <w:rFonts w:hint="eastAsia"/>
          <w:b/>
          <w:bCs/>
          <w:szCs w:val="21"/>
        </w:rPr>
        <w:t>4</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bookmarkStart w:id="159" w:name="OLE_LINK97"/>
      <w:r>
        <w:rPr>
          <w:rFonts w:hint="eastAsia"/>
          <w:szCs w:val="21"/>
        </w:rPr>
        <w:t>政府投资类道路工程</w:t>
      </w:r>
      <w:r>
        <w:rPr>
          <w:rFonts w:hint="eastAsia"/>
          <w:bCs/>
          <w:szCs w:val="21"/>
        </w:rPr>
        <w:t>项目建设单位</w:t>
      </w:r>
      <w:r>
        <w:rPr>
          <w:szCs w:val="21"/>
        </w:rPr>
        <w:t>应对</w:t>
      </w:r>
      <w:r>
        <w:rPr>
          <w:rFonts w:hint="eastAsia"/>
          <w:szCs w:val="21"/>
        </w:rPr>
        <w:t>碳排放因子的数据来源和选用依据进行详细说明，在碳排放计算报告中注明排放因子的数据来源，并且经过低碳咨询专家组评审通过后报主管部门备案。</w:t>
      </w:r>
      <w:bookmarkEnd w:id="159"/>
    </w:p>
    <w:p>
      <w:pPr>
        <w:widowControl/>
        <w:spacing w:line="240" w:lineRule="auto"/>
        <w:jc w:val="left"/>
      </w:pPr>
      <w:r>
        <w:br w:type="page"/>
      </w:r>
    </w:p>
    <w:p>
      <w:pPr>
        <w:keepNext/>
        <w:keepLines/>
        <w:spacing w:before="360" w:after="360" w:line="240" w:lineRule="auto"/>
        <w:jc w:val="center"/>
        <w:outlineLvl w:val="0"/>
        <w:rPr>
          <w:rStyle w:val="19"/>
          <w:rFonts w:ascii="宋体" w:hAnsi="宋体" w:eastAsia="宋体"/>
          <w:b w:val="0"/>
          <w:bCs w:val="0"/>
          <w:sz w:val="28"/>
          <w:szCs w:val="28"/>
        </w:rPr>
      </w:pPr>
      <w:bookmarkStart w:id="160" w:name="_Toc160030723"/>
      <w:bookmarkStart w:id="161" w:name="_Toc160032810"/>
      <w:bookmarkStart w:id="162" w:name="_Toc161134667"/>
      <w:bookmarkStart w:id="163" w:name="_Toc160030985"/>
      <w:r>
        <w:rPr>
          <w:rStyle w:val="19"/>
          <w:rFonts w:hint="eastAsia" w:ascii="Times New Roman" w:hAnsi="Times New Roman" w:cs="Times New Roman"/>
          <w:sz w:val="28"/>
          <w:szCs w:val="28"/>
        </w:rPr>
        <w:t>5</w:t>
      </w:r>
      <w:r>
        <w:rPr>
          <w:rStyle w:val="19"/>
          <w:rFonts w:hint="eastAsia" w:ascii="宋体" w:hAnsi="宋体"/>
          <w:sz w:val="28"/>
          <w:szCs w:val="28"/>
        </w:rPr>
        <w:t xml:space="preserve">  </w:t>
      </w:r>
      <w:r>
        <w:rPr>
          <w:rStyle w:val="19"/>
          <w:rFonts w:hint="eastAsia" w:ascii="宋体" w:hAnsi="宋体" w:eastAsia="宋体"/>
          <w:b w:val="0"/>
          <w:bCs w:val="0"/>
          <w:sz w:val="28"/>
          <w:szCs w:val="28"/>
        </w:rPr>
        <w:t>低碳能源与资源的利用</w:t>
      </w:r>
      <w:bookmarkEnd w:id="160"/>
      <w:bookmarkEnd w:id="161"/>
      <w:bookmarkEnd w:id="162"/>
      <w:bookmarkEnd w:id="163"/>
    </w:p>
    <w:p>
      <w:pPr>
        <w:pStyle w:val="4"/>
        <w:spacing w:before="240" w:after="240" w:line="240" w:lineRule="auto"/>
        <w:jc w:val="center"/>
        <w:rPr>
          <w:rFonts w:ascii="黑体" w:hAnsi="黑体" w:eastAsia="黑体"/>
          <w:b w:val="0"/>
          <w:sz w:val="21"/>
          <w:szCs w:val="21"/>
        </w:rPr>
      </w:pPr>
      <w:bookmarkStart w:id="164" w:name="_Toc160030986"/>
      <w:bookmarkStart w:id="165" w:name="_Toc161134668"/>
      <w:bookmarkStart w:id="166" w:name="_Toc160032811"/>
      <w:bookmarkStart w:id="167" w:name="_Toc160030724"/>
      <w:r>
        <w:rPr>
          <w:rFonts w:hint="eastAsia" w:ascii="Times New Roman" w:hAnsi="Times New Roman"/>
          <w:sz w:val="21"/>
          <w:szCs w:val="21"/>
        </w:rPr>
        <w:t>5</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道路工程的全寿命周期活动应定性评估可再生能源利用潜力，优先选择低碳能源利用方案。</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根据深圳市的能源政策、资源条件和气候环境，道路工程应综合利用太阳能光伏发电、风力发电和生物质能等。</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以循环经济发展模式为导向，道路工程低碳设计应采用资源再生利用技术，对无法满足使用要求的路面废料、建筑垃圾、固体废弃物等回收处理后再循环利用。</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道路工程可利用水、沥青、混凝土、橡胶轮胎、骨料、钢筋、工业固废、城市垃圾等有关再生资源。</w:t>
      </w:r>
    </w:p>
    <w:p>
      <w:pPr>
        <w:spacing w:line="240" w:lineRule="auto"/>
        <w:rPr>
          <w:szCs w:val="21"/>
        </w:rPr>
      </w:pPr>
      <w:bookmarkStart w:id="168" w:name="OLE_LINK130"/>
      <w:bookmarkStart w:id="169" w:name="OLE_LINK129"/>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bookmarkEnd w:id="168"/>
      <w:bookmarkEnd w:id="169"/>
      <w:bookmarkStart w:id="170" w:name="OLE_LINK174"/>
      <w:r>
        <w:rPr>
          <w:szCs w:val="21"/>
        </w:rPr>
        <w:t>道路工程</w:t>
      </w:r>
      <w:bookmarkEnd w:id="170"/>
      <w:r>
        <w:rPr>
          <w:rFonts w:hint="eastAsia"/>
          <w:szCs w:val="21"/>
        </w:rPr>
        <w:t>建设应加强机械设备用能管理，逐步推广采用电动化、智能化的机械设备。</w:t>
      </w:r>
    </w:p>
    <w:p>
      <w:pPr>
        <w:spacing w:line="240" w:lineRule="auto"/>
        <w:rPr>
          <w:szCs w:val="21"/>
        </w:rPr>
      </w:pPr>
      <w:r>
        <w:rPr>
          <w:rFonts w:hint="eastAsia"/>
          <w:b/>
          <w:bCs/>
          <w:szCs w:val="21"/>
        </w:rPr>
        <w:t>5</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道路工程</w:t>
      </w:r>
      <w:r>
        <w:rPr>
          <w:szCs w:val="21"/>
        </w:rPr>
        <w:t>宜采用可再生能源为非一级负荷用电设施供电。</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5</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可再生能源的利用</w:t>
      </w:r>
      <w:bookmarkEnd w:id="164"/>
      <w:bookmarkEnd w:id="165"/>
      <w:bookmarkEnd w:id="166"/>
      <w:bookmarkEnd w:id="167"/>
    </w:p>
    <w:p>
      <w:pPr>
        <w:spacing w:line="240" w:lineRule="auto"/>
        <w:rPr>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太阳能光伏发电</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bookmarkStart w:id="171" w:name="OLE_LINK170"/>
      <w:bookmarkStart w:id="172" w:name="OLE_LINK165"/>
      <w:r>
        <w:rPr>
          <w:rFonts w:hint="eastAsia"/>
          <w:bCs/>
          <w:szCs w:val="21"/>
        </w:rPr>
        <w:t>应满足《光伏发电站设计规范》GB 50797和《光伏发电站工程项目用地控制指标》DB/T 1075等有关规定；</w:t>
      </w:r>
    </w:p>
    <w:bookmarkEnd w:id="171"/>
    <w:bookmarkEnd w:id="172"/>
    <w:p>
      <w:pPr>
        <w:spacing w:line="240" w:lineRule="auto"/>
        <w:ind w:firstLine="421" w:firstLineChars="200"/>
        <w:rPr>
          <w:szCs w:val="21"/>
        </w:rPr>
      </w:pPr>
      <w:r>
        <w:rPr>
          <w:b/>
          <w:bCs/>
          <w:szCs w:val="21"/>
        </w:rPr>
        <w:t>2</w:t>
      </w:r>
      <w:r>
        <w:rPr>
          <w:rFonts w:hint="eastAsia"/>
          <w:szCs w:val="21"/>
        </w:rPr>
        <w:t xml:space="preserve"> </w:t>
      </w:r>
      <w:r>
        <w:rPr>
          <w:szCs w:val="21"/>
        </w:rPr>
        <w:t xml:space="preserve"> 应</w:t>
      </w:r>
      <w:r>
        <w:rPr>
          <w:rFonts w:hint="eastAsia"/>
          <w:szCs w:val="21"/>
        </w:rPr>
        <w:t>按照“宜建尽建”原则，采用“自发自用、余电上网”模式，积极开展道路工程的光伏发电项目建设，并做好光伏发电项目的全寿命周期建设运营工作；</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可通过铺设光伏组件，将太阳能发电系统与隧道洞顶、边坡、服务区、管理中心、声屏障等融为一体，且不破坏道路工程原有设施的基本功能；</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道路工程施工现场宜选用太阳能光伏发电的具体情形包括：</w:t>
      </w:r>
    </w:p>
    <w:p>
      <w:pPr>
        <w:spacing w:line="240" w:lineRule="auto"/>
        <w:ind w:firstLine="632" w:firstLineChars="300"/>
        <w:rPr>
          <w:rFonts w:cs="宋体"/>
          <w:szCs w:val="21"/>
        </w:rPr>
      </w:pPr>
      <w:r>
        <w:rPr>
          <w:rFonts w:hint="eastAsia" w:cs="宋体"/>
          <w:b/>
          <w:szCs w:val="21"/>
        </w:rPr>
        <w:t>1</w:t>
      </w:r>
      <w:r>
        <w:rPr>
          <w:rFonts w:hint="eastAsia" w:cs="宋体"/>
          <w:szCs w:val="21"/>
        </w:rPr>
        <w:t>）施工现场没有可靠的电网供电，或者需要在偏远区域施工，采用独立光伏发电系统；</w:t>
      </w:r>
    </w:p>
    <w:p>
      <w:pPr>
        <w:spacing w:line="240" w:lineRule="auto"/>
        <w:ind w:firstLine="632" w:firstLineChars="300"/>
        <w:rPr>
          <w:rFonts w:cs="宋体"/>
          <w:szCs w:val="21"/>
        </w:rPr>
      </w:pPr>
      <w:r>
        <w:rPr>
          <w:rFonts w:cs="宋体"/>
          <w:b/>
          <w:szCs w:val="21"/>
        </w:rPr>
        <w:t>2</w:t>
      </w:r>
      <w:r>
        <w:rPr>
          <w:rFonts w:hint="eastAsia" w:cs="宋体"/>
          <w:szCs w:val="21"/>
        </w:rPr>
        <w:t>）在施工现场满足特定的用电需求，采用分布式光伏发电系统。</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应综合研究光伏组件的安装位置、安装倾角和安装方式，通过计算太阳能光伏发电系统需要承载的负载功率，合理选择太阳能电池组件、控制器、蓄电池、</w:t>
      </w:r>
      <w:r>
        <w:rPr>
          <w:rFonts w:hint="eastAsia" w:cs="宋体"/>
          <w:szCs w:val="21"/>
        </w:rPr>
        <w:t>逆变器等</w:t>
      </w:r>
      <w:r>
        <w:rPr>
          <w:rFonts w:hint="eastAsia"/>
          <w:bCs/>
          <w:szCs w:val="21"/>
        </w:rPr>
        <w:t>相关设备；</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应选取寿命长、效率高、抗风、抗冰雹能力强的太阳能光伏发电组件；</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应同步设计防雷、通信、电压、消防等保护系统；</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宜采用安全性高的新工艺、新材料对暴露于组件方阵以外的支架、支架基础、钢结构棱角等实施安全防护措施。</w:t>
      </w:r>
    </w:p>
    <w:p>
      <w:pPr>
        <w:spacing w:line="240" w:lineRule="auto"/>
        <w:rPr>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风力发电</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应满足</w:t>
      </w:r>
      <w:bookmarkStart w:id="173" w:name="OLE_LINK171"/>
      <w:r>
        <w:rPr>
          <w:rFonts w:hint="eastAsia"/>
          <w:bCs/>
          <w:szCs w:val="21"/>
        </w:rPr>
        <w:t>《风力发电场设计规范》</w:t>
      </w:r>
      <w:r>
        <w:rPr>
          <w:bCs/>
          <w:szCs w:val="21"/>
        </w:rPr>
        <w:t xml:space="preserve">GB/T </w:t>
      </w:r>
      <w:r>
        <w:rPr>
          <w:rFonts w:hint="eastAsia"/>
          <w:bCs/>
          <w:szCs w:val="21"/>
        </w:rPr>
        <w:t>51096</w:t>
      </w:r>
      <w:bookmarkEnd w:id="173"/>
      <w:r>
        <w:rPr>
          <w:rFonts w:hint="eastAsia"/>
          <w:bCs/>
          <w:szCs w:val="21"/>
        </w:rPr>
        <w:t>和</w:t>
      </w:r>
      <w:bookmarkStart w:id="174" w:name="OLE_LINK179"/>
      <w:r>
        <w:rPr>
          <w:rFonts w:hint="eastAsia"/>
          <w:bCs/>
          <w:szCs w:val="21"/>
        </w:rPr>
        <w:t>《风能发电系统 风力发电机组通用技术条件和试验方法》</w:t>
      </w:r>
      <w:bookmarkStart w:id="175" w:name="OLE_LINK178"/>
      <w:r>
        <w:rPr>
          <w:bCs/>
          <w:szCs w:val="21"/>
        </w:rPr>
        <w:t xml:space="preserve">GB/T </w:t>
      </w:r>
      <w:bookmarkEnd w:id="175"/>
      <w:r>
        <w:rPr>
          <w:bCs/>
          <w:szCs w:val="21"/>
        </w:rPr>
        <w:t>19960</w:t>
      </w:r>
      <w:bookmarkEnd w:id="174"/>
      <w:r>
        <w:rPr>
          <w:rFonts w:hint="eastAsia"/>
          <w:bCs/>
          <w:szCs w:val="21"/>
        </w:rPr>
        <w:t>等有关规定；</w:t>
      </w:r>
    </w:p>
    <w:p>
      <w:pPr>
        <w:spacing w:line="240" w:lineRule="auto"/>
        <w:ind w:firstLine="421" w:firstLineChars="200"/>
        <w:rPr>
          <w:bCs/>
          <w:szCs w:val="21"/>
        </w:rPr>
      </w:pPr>
      <w:bookmarkStart w:id="176" w:name="OLE_LINK147"/>
      <w:bookmarkStart w:id="177" w:name="OLE_LINK146"/>
      <w:r>
        <w:rPr>
          <w:rFonts w:hint="eastAsia"/>
          <w:b/>
          <w:bCs/>
          <w:szCs w:val="21"/>
        </w:rPr>
        <w:t>2</w:t>
      </w:r>
      <w:r>
        <w:rPr>
          <w:rFonts w:hint="eastAsia"/>
          <w:szCs w:val="21"/>
        </w:rPr>
        <w:t xml:space="preserve"> </w:t>
      </w:r>
      <w:r>
        <w:rPr>
          <w:szCs w:val="21"/>
        </w:rPr>
        <w:t xml:space="preserve"> </w:t>
      </w:r>
      <w:bookmarkEnd w:id="176"/>
      <w:bookmarkEnd w:id="177"/>
      <w:r>
        <w:rPr>
          <w:rFonts w:hint="eastAsia"/>
          <w:bCs/>
          <w:szCs w:val="21"/>
        </w:rPr>
        <w:t>风力发电机应由风轮、发电机、调向器、塔架、限速安全机构和储能装置组成；</w:t>
      </w:r>
    </w:p>
    <w:p>
      <w:pPr>
        <w:spacing w:line="240" w:lineRule="auto"/>
        <w:ind w:firstLine="421" w:firstLineChars="200"/>
        <w:rPr>
          <w:szCs w:val="21"/>
        </w:rPr>
      </w:pPr>
      <w:bookmarkStart w:id="178" w:name="OLE_LINK131"/>
      <w:r>
        <w:rPr>
          <w:rFonts w:hint="eastAsia"/>
          <w:b/>
          <w:bCs/>
          <w:szCs w:val="21"/>
        </w:rPr>
        <w:t>3</w:t>
      </w:r>
      <w:r>
        <w:rPr>
          <w:rFonts w:hint="eastAsia"/>
          <w:szCs w:val="21"/>
        </w:rPr>
        <w:t xml:space="preserve"> </w:t>
      </w:r>
      <w:r>
        <w:rPr>
          <w:szCs w:val="21"/>
        </w:rPr>
        <w:t xml:space="preserve"> </w:t>
      </w:r>
      <w:bookmarkEnd w:id="178"/>
      <w:r>
        <w:rPr>
          <w:rFonts w:hint="eastAsia"/>
          <w:szCs w:val="21"/>
        </w:rPr>
        <w:t>设置风力发电机组时，应评估风力资源，确定适合的风力发电机型号和数量；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风力发电系统设计应根据场地条件、风能资源和项目需求选择</w:t>
      </w:r>
      <w:bookmarkStart w:id="179" w:name="OLE_LINK180"/>
      <w:bookmarkStart w:id="180" w:name="OLE_LINK181"/>
      <w:r>
        <w:rPr>
          <w:szCs w:val="21"/>
        </w:rPr>
        <w:t>垂直轴风力发电系统</w:t>
      </w:r>
      <w:bookmarkEnd w:id="179"/>
      <w:bookmarkEnd w:id="180"/>
      <w:bookmarkStart w:id="181" w:name="OLE_LINK182"/>
      <w:bookmarkStart w:id="182" w:name="OLE_LINK183"/>
      <w:r>
        <w:rPr>
          <w:rFonts w:hint="eastAsia"/>
          <w:szCs w:val="21"/>
        </w:rPr>
        <w:t>或者</w:t>
      </w:r>
      <w:r>
        <w:rPr>
          <w:szCs w:val="21"/>
        </w:rPr>
        <w:t>水平轴风力发电</w:t>
      </w:r>
      <w:bookmarkEnd w:id="181"/>
      <w:bookmarkEnd w:id="182"/>
      <w:r>
        <w:rPr>
          <w:rFonts w:hint="eastAsia"/>
          <w:szCs w:val="21"/>
        </w:rPr>
        <w:t>系统</w:t>
      </w:r>
      <w:r>
        <w:rPr>
          <w:szCs w:val="21"/>
        </w:rPr>
        <w:t>；</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风力发电装置</w:t>
      </w:r>
      <w:r>
        <w:rPr>
          <w:rFonts w:hint="eastAsia"/>
          <w:szCs w:val="21"/>
        </w:rPr>
        <w:t>宜</w:t>
      </w:r>
      <w:r>
        <w:rPr>
          <w:szCs w:val="21"/>
        </w:rPr>
        <w:t>设置在道路路侧、桥梁、隧道等用电负荷大的区域。</w:t>
      </w:r>
    </w:p>
    <w:p>
      <w:pPr>
        <w:spacing w:line="240" w:lineRule="auto"/>
        <w:rPr>
          <w:szCs w:val="21"/>
        </w:rPr>
      </w:pPr>
      <w:r>
        <w:rPr>
          <w:rFonts w:hint="eastAsia"/>
          <w:b/>
          <w:bCs/>
          <w:szCs w:val="21"/>
        </w:rPr>
        <w:t>5</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选用依据</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根据道路工程的实际情况，宜合理配置多元化的可再生能源，以确保科学、客观和有效的使用，避免投资浪费；</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在选择可再生能源类型时，应综合考虑道路工程的能源需求特点、资源可利用性以及技术成熟度；</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在策划和建设道路工程项目时，应将可再生能源的配置纳入中长期规划，考虑未来能源需求的增长和变化，并作出相应的准备和布局</w:t>
      </w:r>
      <w:r>
        <w:rPr>
          <w:szCs w:val="21"/>
        </w:rPr>
        <w:t>。</w:t>
      </w:r>
    </w:p>
    <w:p>
      <w:pPr>
        <w:pStyle w:val="4"/>
        <w:spacing w:before="240" w:after="240" w:line="240" w:lineRule="auto"/>
        <w:jc w:val="center"/>
        <w:rPr>
          <w:rFonts w:ascii="黑体" w:hAnsi="黑体" w:eastAsia="黑体"/>
          <w:b w:val="0"/>
          <w:sz w:val="21"/>
          <w:szCs w:val="21"/>
        </w:rPr>
      </w:pPr>
      <w:bookmarkStart w:id="183" w:name="_Toc161134669"/>
      <w:bookmarkStart w:id="184" w:name="_Toc160030987"/>
      <w:bookmarkStart w:id="185" w:name="_Toc160030725"/>
      <w:bookmarkStart w:id="186" w:name="_Toc160032812"/>
      <w:r>
        <w:rPr>
          <w:rFonts w:hint="eastAsia" w:ascii="Times New Roman" w:hAnsi="Times New Roman"/>
          <w:sz w:val="21"/>
          <w:szCs w:val="21"/>
        </w:rPr>
        <w:t>5</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资源的再生利用</w:t>
      </w:r>
      <w:bookmarkEnd w:id="183"/>
      <w:bookmarkEnd w:id="184"/>
      <w:bookmarkEnd w:id="185"/>
      <w:bookmarkEnd w:id="186"/>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水的再生利用</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建立雨水收集利用、中水回用系统，使水资源得到梯级循环利用；</w:t>
      </w:r>
    </w:p>
    <w:p>
      <w:pPr>
        <w:spacing w:line="240" w:lineRule="auto"/>
        <w:ind w:firstLine="421" w:firstLineChars="200"/>
        <w:rPr>
          <w:bCs/>
          <w:szCs w:val="21"/>
        </w:rPr>
      </w:pPr>
      <w:r>
        <w:rPr>
          <w:rFonts w:hint="eastAsia"/>
          <w:b/>
          <w:szCs w:val="21"/>
        </w:rPr>
        <w:t>2</w:t>
      </w:r>
      <w:r>
        <w:rPr>
          <w:rFonts w:hint="eastAsia"/>
          <w:bCs/>
          <w:szCs w:val="21"/>
        </w:rPr>
        <w:t xml:space="preserve">  应设置雨水排水管、沟系统收集雨水，经沉淀池、低影响开发设施等处理后利用；</w:t>
      </w:r>
    </w:p>
    <w:p>
      <w:pPr>
        <w:spacing w:line="240" w:lineRule="auto"/>
        <w:ind w:firstLine="421" w:firstLineChars="200"/>
        <w:rPr>
          <w:bCs/>
          <w:szCs w:val="21"/>
        </w:rPr>
      </w:pPr>
      <w:r>
        <w:rPr>
          <w:rFonts w:hint="eastAsia"/>
          <w:b/>
          <w:szCs w:val="21"/>
        </w:rPr>
        <w:t>3</w:t>
      </w:r>
      <w:r>
        <w:rPr>
          <w:rFonts w:hint="eastAsia"/>
          <w:bCs/>
          <w:szCs w:val="21"/>
        </w:rPr>
        <w:t xml:space="preserve">  施工废水含油污、泥沙、PH值较高，应通过设置隔油池、沉淀池、多功能处理池等措施进行处理后回用；</w:t>
      </w:r>
    </w:p>
    <w:p>
      <w:pPr>
        <w:spacing w:line="240" w:lineRule="auto"/>
        <w:ind w:firstLine="421" w:firstLineChars="200"/>
        <w:rPr>
          <w:bCs/>
          <w:szCs w:val="21"/>
        </w:rPr>
      </w:pPr>
      <w:r>
        <w:rPr>
          <w:rFonts w:hint="eastAsia"/>
          <w:b/>
          <w:szCs w:val="21"/>
        </w:rPr>
        <w:t>4</w:t>
      </w:r>
      <w:r>
        <w:rPr>
          <w:rFonts w:hint="eastAsia"/>
          <w:bCs/>
          <w:szCs w:val="21"/>
        </w:rPr>
        <w:t xml:space="preserve">  </w:t>
      </w:r>
      <w:r>
        <w:rPr>
          <w:rFonts w:hint="eastAsia"/>
          <w:szCs w:val="21"/>
        </w:rPr>
        <w:t>当污水无法接入市政管网时，应自行建设污水处理设施，将污水妥善处理后达标排放，或者进行深度处理后作为中水回用；</w:t>
      </w:r>
    </w:p>
    <w:p>
      <w:pPr>
        <w:spacing w:line="240" w:lineRule="auto"/>
        <w:ind w:firstLine="421" w:firstLineChars="200"/>
        <w:rPr>
          <w:bCs/>
          <w:szCs w:val="21"/>
        </w:rPr>
      </w:pPr>
      <w:r>
        <w:rPr>
          <w:rFonts w:hint="eastAsia"/>
          <w:b/>
          <w:szCs w:val="21"/>
        </w:rPr>
        <w:t xml:space="preserve">5  </w:t>
      </w:r>
      <w:r>
        <w:rPr>
          <w:rFonts w:hint="eastAsia"/>
          <w:bCs/>
          <w:szCs w:val="21"/>
        </w:rPr>
        <w:t>处理后的雨水以及达到回用标准的污、废水，可用于道路工程绿化浇灌、路面清洗、施工降尘、车辆冲洗等。</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沥青的再生利用</w:t>
      </w:r>
    </w:p>
    <w:p>
      <w:pPr>
        <w:spacing w:line="240" w:lineRule="auto"/>
        <w:ind w:firstLine="421" w:firstLineChars="200"/>
        <w:rPr>
          <w:szCs w:val="21"/>
        </w:rPr>
      </w:pPr>
      <w:bookmarkStart w:id="187" w:name="OLE_LINK185"/>
      <w:r>
        <w:rPr>
          <w:rFonts w:hint="eastAsia"/>
          <w:b/>
          <w:bCs/>
          <w:szCs w:val="21"/>
        </w:rPr>
        <w:t>1</w:t>
      </w:r>
      <w:r>
        <w:rPr>
          <w:rFonts w:hint="eastAsia"/>
          <w:szCs w:val="21"/>
        </w:rPr>
        <w:t xml:space="preserve"> </w:t>
      </w:r>
      <w:r>
        <w:rPr>
          <w:szCs w:val="21"/>
        </w:rPr>
        <w:t xml:space="preserve"> </w:t>
      </w:r>
      <w:bookmarkEnd w:id="187"/>
      <w:r>
        <w:rPr>
          <w:rFonts w:hint="eastAsia"/>
          <w:szCs w:val="21"/>
        </w:rPr>
        <w:t>根据再生混合料拌制和施工温度的不同，沥青路面再生可分为冷再生和热再生；</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根据施工场合和施工工艺的不同，沥青路面再生可分为厂拌再生和就地再生；</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在</w:t>
      </w:r>
      <w:r>
        <w:rPr>
          <w:rFonts w:hint="eastAsia"/>
          <w:bCs/>
          <w:szCs w:val="21"/>
        </w:rPr>
        <w:t>选择再生利用方案前，应结合交通、旧路面、技术和设备条件，选择满足施工技术和质量要求的再生利用工艺。</w:t>
      </w:r>
    </w:p>
    <w:p>
      <w:pPr>
        <w:spacing w:line="240" w:lineRule="auto"/>
        <w:rPr>
          <w:szCs w:val="21"/>
        </w:rPr>
      </w:pPr>
      <w:bookmarkStart w:id="188" w:name="OLE_LINK189"/>
      <w:bookmarkStart w:id="189" w:name="OLE_LINK188"/>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混凝土的再生利用</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可将废料混凝土统一收集回收利用，具体步骤如下：</w:t>
      </w:r>
    </w:p>
    <w:p>
      <w:pPr>
        <w:spacing w:line="240" w:lineRule="auto"/>
        <w:ind w:firstLine="632" w:firstLineChars="300"/>
        <w:rPr>
          <w:rFonts w:cs="宋体"/>
          <w:szCs w:val="21"/>
        </w:rPr>
      </w:pPr>
      <w:bookmarkStart w:id="190" w:name="OLE_LINK226"/>
      <w:r>
        <w:rPr>
          <w:rFonts w:hint="eastAsia" w:cs="宋体"/>
          <w:b/>
          <w:szCs w:val="21"/>
        </w:rPr>
        <w:t>1</w:t>
      </w:r>
      <w:r>
        <w:rPr>
          <w:rFonts w:hint="eastAsia" w:cs="宋体"/>
          <w:szCs w:val="21"/>
        </w:rPr>
        <w:t>）利用锤击设备对废料混凝土进行锤击，配合人工筛选，将木料、钢筋、塑料以及其他</w:t>
      </w:r>
    </w:p>
    <w:bookmarkEnd w:id="190"/>
    <w:p>
      <w:pPr>
        <w:spacing w:line="240" w:lineRule="auto"/>
        <w:ind w:firstLine="945" w:firstLineChars="450"/>
        <w:rPr>
          <w:rFonts w:cs="宋体"/>
          <w:szCs w:val="21"/>
        </w:rPr>
      </w:pPr>
      <w:r>
        <w:rPr>
          <w:rFonts w:hint="eastAsia" w:cs="宋体"/>
          <w:szCs w:val="21"/>
        </w:rPr>
        <w:t>材质的杂物清理出去；</w:t>
      </w:r>
    </w:p>
    <w:p>
      <w:pPr>
        <w:spacing w:line="240" w:lineRule="auto"/>
        <w:ind w:firstLine="632" w:firstLineChars="300"/>
        <w:rPr>
          <w:rFonts w:cs="宋体"/>
          <w:szCs w:val="21"/>
        </w:rPr>
      </w:pPr>
      <w:r>
        <w:rPr>
          <w:rFonts w:cs="宋体"/>
          <w:b/>
          <w:szCs w:val="21"/>
        </w:rPr>
        <w:t>2</w:t>
      </w:r>
      <w:r>
        <w:rPr>
          <w:rFonts w:hint="eastAsia" w:cs="宋体"/>
          <w:szCs w:val="21"/>
        </w:rPr>
        <w:t>）通过颚式破碎机对初选后的废料混凝土进行破碎，采用冲洗、磁选、烘干以及风力分</w:t>
      </w:r>
    </w:p>
    <w:p>
      <w:pPr>
        <w:spacing w:line="240" w:lineRule="auto"/>
        <w:ind w:firstLine="945" w:firstLineChars="450"/>
        <w:rPr>
          <w:rFonts w:cs="宋体"/>
          <w:szCs w:val="21"/>
        </w:rPr>
      </w:pPr>
      <w:r>
        <w:rPr>
          <w:rFonts w:hint="eastAsia" w:cs="宋体"/>
          <w:szCs w:val="21"/>
        </w:rPr>
        <w:t>离处理工艺；</w:t>
      </w:r>
    </w:p>
    <w:p>
      <w:pPr>
        <w:spacing w:line="240" w:lineRule="auto"/>
        <w:ind w:firstLine="632" w:firstLineChars="300"/>
        <w:rPr>
          <w:rFonts w:cs="宋体"/>
          <w:szCs w:val="21"/>
        </w:rPr>
      </w:pPr>
      <w:r>
        <w:rPr>
          <w:rFonts w:hint="eastAsia" w:cs="宋体"/>
          <w:b/>
          <w:szCs w:val="21"/>
        </w:rPr>
        <w:t>3</w:t>
      </w:r>
      <w:r>
        <w:rPr>
          <w:rFonts w:hint="eastAsia" w:cs="宋体"/>
          <w:szCs w:val="21"/>
        </w:rPr>
        <w:t>）通过双层网筛分机把经破碎混凝土筛分，获取粒径在0~40mm不等的再生骨料，对于</w:t>
      </w:r>
    </w:p>
    <w:p>
      <w:pPr>
        <w:spacing w:line="240" w:lineRule="auto"/>
        <w:ind w:firstLine="945" w:firstLineChars="450"/>
        <w:rPr>
          <w:rFonts w:cs="宋体"/>
          <w:szCs w:val="21"/>
        </w:rPr>
      </w:pPr>
      <w:bookmarkStart w:id="191" w:name="OLE_LINK186"/>
      <w:bookmarkStart w:id="192" w:name="OLE_LINK187"/>
      <w:r>
        <w:rPr>
          <w:rFonts w:hint="eastAsia" w:cs="宋体"/>
          <w:szCs w:val="21"/>
        </w:rPr>
        <w:t>粒径超过40mm的骨料则继续破碎至40mm以下；</w:t>
      </w:r>
    </w:p>
    <w:bookmarkEnd w:id="191"/>
    <w:bookmarkEnd w:id="192"/>
    <w:p>
      <w:pPr>
        <w:spacing w:line="240" w:lineRule="auto"/>
        <w:ind w:firstLine="632" w:firstLineChars="300"/>
        <w:rPr>
          <w:rFonts w:cs="宋体"/>
          <w:szCs w:val="21"/>
        </w:rPr>
      </w:pPr>
      <w:r>
        <w:rPr>
          <w:rFonts w:hint="eastAsia" w:cs="宋体"/>
          <w:b/>
          <w:szCs w:val="21"/>
        </w:rPr>
        <w:t>4</w:t>
      </w:r>
      <w:r>
        <w:rPr>
          <w:rFonts w:hint="eastAsia" w:cs="宋体"/>
          <w:szCs w:val="21"/>
        </w:rPr>
        <w:t>）废料混凝土经过锤击、破碎等工序处理后的泥灰，在破碎分离环节进行冲洗后，将分</w:t>
      </w:r>
    </w:p>
    <w:p>
      <w:pPr>
        <w:spacing w:line="240" w:lineRule="auto"/>
        <w:ind w:firstLine="945" w:firstLineChars="450"/>
        <w:rPr>
          <w:rFonts w:cs="宋体"/>
          <w:szCs w:val="21"/>
        </w:rPr>
      </w:pPr>
      <w:r>
        <w:rPr>
          <w:rFonts w:hint="eastAsia" w:cs="宋体"/>
          <w:szCs w:val="21"/>
        </w:rPr>
        <w:t>离出的泥浆烘干，掺入配料，经过煅烧获取再生水泥。</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可</w:t>
      </w:r>
      <w:r>
        <w:rPr>
          <w:rFonts w:hint="eastAsia"/>
          <w:bCs/>
          <w:szCs w:val="21"/>
        </w:rPr>
        <w:t>将废弃混凝土经过粉碎、筛分、分选、洁净处理后，作为碎石用于填充道路垫层、底基层、台背回填、路面修补，以及边坡和其他土建工程；</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bookmarkStart w:id="193" w:name="OLE_LINK193"/>
      <w:r>
        <w:rPr>
          <w:szCs w:val="21"/>
        </w:rPr>
        <w:t>可</w:t>
      </w:r>
      <w:r>
        <w:rPr>
          <w:rFonts w:hint="eastAsia"/>
          <w:szCs w:val="21"/>
        </w:rPr>
        <w:t>将废弃混凝土经过破碎、筛分、分选、洁净处理后，</w:t>
      </w:r>
      <w:bookmarkEnd w:id="193"/>
      <w:r>
        <w:rPr>
          <w:rFonts w:hint="eastAsia"/>
          <w:szCs w:val="21"/>
        </w:rPr>
        <w:t>作为砂用于制造新的混凝土制品，包括非承重混凝土预制构件、铺道砖、砌块砖等；</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可将废弃混凝土经过破碎、筛分、分选、洁净处理后，作为再生骨料用于路面基层、边坡保护等。</w:t>
      </w:r>
    </w:p>
    <w:bookmarkEnd w:id="188"/>
    <w:bookmarkEnd w:id="189"/>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橡胶轮胎的再生利用</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可将</w:t>
      </w:r>
      <w:r>
        <w:rPr>
          <w:rFonts w:hint="eastAsia"/>
          <w:szCs w:val="21"/>
        </w:rPr>
        <w:t>经过适当</w:t>
      </w:r>
      <w:bookmarkStart w:id="194" w:name="OLE_LINK191"/>
      <w:bookmarkStart w:id="195" w:name="OLE_LINK190"/>
      <w:r>
        <w:rPr>
          <w:rFonts w:hint="eastAsia"/>
          <w:szCs w:val="21"/>
        </w:rPr>
        <w:t>处理的废旧轮胎作为路基填料使用，在增强下部路基土抗剪强度的同时提高路基的整体性能，促进下部路基均匀受力、减少面层厚度；</w:t>
      </w:r>
      <w:bookmarkEnd w:id="194"/>
      <w:bookmarkEnd w:id="195"/>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在橡胶沥青制备方面，可将废旧轮胎被磨成特定规格的橡胶粉，用于道路石油沥青的改性，改善沥青路面的低温抗裂性、高温稳定性和耐久性等路用性能，减少路面的行车噪声；</w:t>
      </w:r>
      <w:r>
        <w:rPr>
          <w:bCs/>
          <w:szCs w:val="21"/>
        </w:rPr>
        <w:t xml:space="preserve"> </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可将</w:t>
      </w:r>
      <w:r>
        <w:rPr>
          <w:rFonts w:hint="eastAsia"/>
          <w:szCs w:val="21"/>
        </w:rPr>
        <w:t>废旧轮胎作为护坡材料，用于道路边坡的加固和防护，遏制坡体侵蚀和土壤流失；</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可将</w:t>
      </w:r>
      <w:r>
        <w:rPr>
          <w:rFonts w:hint="eastAsia"/>
          <w:bCs/>
          <w:szCs w:val="21"/>
        </w:rPr>
        <w:t>废旧橡胶轮胎用于再生型声屏障，提高施工废料利用率。</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骨料的再生利用</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w:t>
      </w:r>
      <w:r>
        <w:rPr>
          <w:rFonts w:hint="eastAsia"/>
          <w:szCs w:val="21"/>
        </w:rPr>
        <w:t>应符合《混凝土再生粗骨料》GB/T 25177、《混凝土和砂浆用再生细骨料》GB/T 25176和《深圳市再生骨料混凝土制品技术规范》SJG 25</w:t>
      </w:r>
      <w:bookmarkStart w:id="196" w:name="OLE_LINK192"/>
      <w:r>
        <w:rPr>
          <w:rFonts w:hint="eastAsia"/>
          <w:szCs w:val="21"/>
        </w:rPr>
        <w:t>等有关规定</w:t>
      </w:r>
      <w:bookmarkEnd w:id="196"/>
      <w:r>
        <w:rPr>
          <w:rFonts w:hint="eastAsia"/>
          <w:szCs w:val="21"/>
        </w:rPr>
        <w:t>；</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应将</w:t>
      </w:r>
      <w:r>
        <w:rPr>
          <w:rFonts w:hint="eastAsia"/>
          <w:bCs/>
          <w:szCs w:val="21"/>
        </w:rPr>
        <w:t>建筑垃圾分拣、破碎和筛分之后生产再生骨料，以不同比例替代天然砂石材料来生产再生水泥混凝土、水泥砂浆、级配碎石、再生砖等；</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应</w:t>
      </w:r>
      <w:r>
        <w:rPr>
          <w:szCs w:val="21"/>
        </w:rPr>
        <w:t>将</w:t>
      </w:r>
      <w:r>
        <w:rPr>
          <w:rFonts w:hint="eastAsia"/>
          <w:bCs/>
          <w:szCs w:val="21"/>
        </w:rPr>
        <w:t>再生骨料配制的混凝土用于路面砖、砌筑用砖、植草砖等，铺设于人行道、护坡、路缘石、挡土墙、管网等；</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可将</w:t>
      </w:r>
      <w:r>
        <w:rPr>
          <w:rFonts w:hint="eastAsia"/>
          <w:szCs w:val="21"/>
        </w:rPr>
        <w:t>再生骨料砌筑砂浆、再生骨料抹灰砂浆分别用于砌筑、抹灰工程；</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在满足性能要求的前提下，应研发、推广大掺量再生骨料及其应用技术，逐步提升其在预拌混凝土、高性能混凝土的应用水平。</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钢材的再生利用</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可将</w:t>
      </w:r>
      <w:r>
        <w:rPr>
          <w:rFonts w:hint="eastAsia"/>
          <w:bCs/>
          <w:szCs w:val="21"/>
        </w:rPr>
        <w:t>废弃的钢筋通过回收和再加工处理，用于新的非承重混凝土结构物的建设；</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可将回收的钢材制成耐用、高强度的防护栏，保障行车安全；</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可将</w:t>
      </w:r>
      <w:r>
        <w:rPr>
          <w:rFonts w:hint="eastAsia"/>
          <w:bCs/>
          <w:szCs w:val="21"/>
        </w:rPr>
        <w:t>回收的钢材经过适当的处理和检测用于桥梁的支撑结构，确保所用钢材满足桥梁工程要求；</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可</w:t>
      </w:r>
      <w:r>
        <w:rPr>
          <w:szCs w:val="21"/>
        </w:rPr>
        <w:t>将</w:t>
      </w:r>
      <w:r>
        <w:rPr>
          <w:rFonts w:hint="eastAsia"/>
          <w:szCs w:val="21"/>
        </w:rPr>
        <w:t>废弃或者剩余的钢材经过回收、熔炼、再精炼加工过程，生产高质量的再生钢材。</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工业固废的再生利用</w:t>
      </w:r>
    </w:p>
    <w:p>
      <w:pPr>
        <w:spacing w:line="240" w:lineRule="auto"/>
        <w:ind w:firstLine="421" w:firstLineChars="200"/>
        <w:rPr>
          <w:bCs/>
          <w:szCs w:val="21"/>
        </w:rPr>
      </w:pPr>
      <w:r>
        <w:rPr>
          <w:rFonts w:hint="eastAsia"/>
          <w:b/>
          <w:bCs/>
          <w:szCs w:val="21"/>
        </w:rPr>
        <w:t>1</w:t>
      </w:r>
      <w:r>
        <w:rPr>
          <w:rFonts w:hint="eastAsia"/>
          <w:szCs w:val="21"/>
        </w:rPr>
        <w:t xml:space="preserve"> </w:t>
      </w:r>
      <w:r>
        <w:rPr>
          <w:szCs w:val="21"/>
        </w:rPr>
        <w:t xml:space="preserve"> 可</w:t>
      </w:r>
      <w:r>
        <w:rPr>
          <w:rFonts w:hint="eastAsia"/>
          <w:bCs/>
          <w:szCs w:val="21"/>
        </w:rPr>
        <w:t>利用粉煤灰、脱硫石膏、冶金渣、尾矿工业固废制备固废基胶凝材料、碱激发材料以及地聚物，用于道路材料、生态修复、地下管廊、海绵城市建设等；</w:t>
      </w:r>
    </w:p>
    <w:p>
      <w:pPr>
        <w:spacing w:line="240" w:lineRule="auto"/>
        <w:ind w:firstLine="421" w:firstLineChars="200"/>
        <w:rPr>
          <w:szCs w:val="21"/>
        </w:rPr>
      </w:pPr>
      <w:bookmarkStart w:id="197" w:name="OLE_LINK196"/>
      <w:bookmarkStart w:id="198" w:name="OLE_LINK199"/>
      <w:r>
        <w:rPr>
          <w:rFonts w:hint="eastAsia"/>
          <w:b/>
          <w:bCs/>
          <w:szCs w:val="21"/>
        </w:rPr>
        <w:t>2</w:t>
      </w:r>
      <w:r>
        <w:rPr>
          <w:rFonts w:hint="eastAsia"/>
          <w:szCs w:val="21"/>
        </w:rPr>
        <w:t xml:space="preserve"> </w:t>
      </w:r>
      <w:r>
        <w:rPr>
          <w:szCs w:val="21"/>
        </w:rPr>
        <w:t xml:space="preserve"> </w:t>
      </w:r>
      <w:bookmarkEnd w:id="197"/>
      <w:bookmarkEnd w:id="198"/>
      <w:r>
        <w:rPr>
          <w:szCs w:val="21"/>
        </w:rPr>
        <w:t>可</w:t>
      </w:r>
      <w:r>
        <w:rPr>
          <w:rFonts w:hint="eastAsia"/>
          <w:szCs w:val="21"/>
        </w:rPr>
        <w:t>将矿渣作为填料用于路基部分，提高道路的稳定性和承载能力；</w:t>
      </w:r>
    </w:p>
    <w:p>
      <w:pPr>
        <w:spacing w:line="240" w:lineRule="auto"/>
        <w:ind w:firstLine="421" w:firstLineChars="200"/>
        <w:rPr>
          <w:szCs w:val="21"/>
        </w:rPr>
      </w:pPr>
      <w:bookmarkStart w:id="199" w:name="OLE_LINK202"/>
      <w:r>
        <w:rPr>
          <w:rFonts w:hint="eastAsia"/>
          <w:b/>
          <w:bCs/>
          <w:szCs w:val="21"/>
        </w:rPr>
        <w:t>3</w:t>
      </w:r>
      <w:r>
        <w:rPr>
          <w:rFonts w:hint="eastAsia"/>
          <w:szCs w:val="21"/>
        </w:rPr>
        <w:t xml:space="preserve"> </w:t>
      </w:r>
      <w:r>
        <w:rPr>
          <w:szCs w:val="21"/>
        </w:rPr>
        <w:t xml:space="preserve"> </w:t>
      </w:r>
      <w:bookmarkEnd w:id="199"/>
      <w:r>
        <w:rPr>
          <w:rFonts w:hint="eastAsia"/>
          <w:szCs w:val="21"/>
        </w:rPr>
        <w:t>可将矿渣研磨成粉末后，与沥青或水泥混合使用，制作路面材料；</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可将钢渣作为优质集料或基质沥青改性剂，替代玄武岩等优质石料在沥青面层中使用，制备钢渣沥青混凝土；</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可将</w:t>
      </w:r>
      <w:r>
        <w:rPr>
          <w:rFonts w:hint="eastAsia"/>
          <w:szCs w:val="21"/>
        </w:rPr>
        <w:t>铁尾矿砂作细集料在沥青混合料中使用，掺量综合考虑矿料级配组成和沥青混合料性能确定，控制在10%以下；</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可采用铁尾矿砂替代10%~20%石屑配制铁尾矿砂水泥稳定碎石混合料；</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可将</w:t>
      </w:r>
      <w:r>
        <w:rPr>
          <w:rFonts w:hint="eastAsia"/>
          <w:szCs w:val="21"/>
        </w:rPr>
        <w:t>煤矸石应用于沥青面层，并保证其压碎值、洛杉矶磨耗损失、与沥青的粘附性、吸水率、密度、坚固性等指标满足规范要求。</w:t>
      </w:r>
    </w:p>
    <w:p>
      <w:pPr>
        <w:spacing w:line="240" w:lineRule="auto"/>
        <w:rPr>
          <w:szCs w:val="21"/>
        </w:rPr>
      </w:pPr>
      <w:r>
        <w:rPr>
          <w:rFonts w:hint="eastAsia"/>
          <w:b/>
          <w:bCs/>
          <w:szCs w:val="21"/>
        </w:rPr>
        <w:t>5</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建筑垃圾的再生利用</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可</w:t>
      </w:r>
      <w:r>
        <w:rPr>
          <w:rFonts w:hint="eastAsia"/>
          <w:szCs w:val="21"/>
        </w:rPr>
        <w:t>采取土质改良措施，将符合回填土质要求的工程渣土、工程泥浆，用于土方回填；</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可将</w:t>
      </w:r>
      <w:r>
        <w:rPr>
          <w:rFonts w:hint="eastAsia"/>
          <w:bCs/>
          <w:szCs w:val="21"/>
        </w:rPr>
        <w:t>工程垃圾和拆除垃圾中金属类垃圾就地处置，通过简单加工，满足要求的，作为施工材料或工具回收利用；</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可将</w:t>
      </w:r>
      <w:r>
        <w:rPr>
          <w:rFonts w:hint="eastAsia"/>
          <w:szCs w:val="21"/>
        </w:rPr>
        <w:t>工程垃圾和拆除垃圾中无机非金属建筑垃圾就地处置，根据场地条件，设置场内处置设备，采用粉碎机粉碎筛分并经试验验证后用于临时道路修建、场区回填、软土土层处理；</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可将建筑垃圾再生集料</w:t>
      </w:r>
      <w:r>
        <w:rPr>
          <w:rFonts w:hint="eastAsia"/>
          <w:szCs w:val="21"/>
        </w:rPr>
        <w:t>用于</w:t>
      </w:r>
      <w:r>
        <w:rPr>
          <w:szCs w:val="21"/>
        </w:rPr>
        <w:t>路基填筑、软基处理、铺筑路面底基层、生产商品混凝土、预拌砂浆、预制低强度等级非承重混凝土构件</w:t>
      </w:r>
      <w:r>
        <w:rPr>
          <w:rFonts w:hint="eastAsia"/>
          <w:szCs w:val="21"/>
        </w:rPr>
        <w:t>；</w:t>
      </w:r>
    </w:p>
    <w:p>
      <w:pPr>
        <w:spacing w:line="240" w:lineRule="auto"/>
        <w:ind w:firstLine="421" w:firstLineChars="200"/>
        <w:rPr>
          <w:rFonts w:eastAsia="黑体" w:cs="黑体"/>
          <w:bCs/>
          <w:sz w:val="18"/>
          <w:szCs w:val="18"/>
        </w:rPr>
      </w:pPr>
      <w:r>
        <w:rPr>
          <w:rFonts w:hint="eastAsia"/>
          <w:b/>
          <w:bCs/>
          <w:szCs w:val="21"/>
        </w:rPr>
        <w:t>5</w:t>
      </w:r>
      <w:r>
        <w:rPr>
          <w:rFonts w:hint="eastAsia"/>
          <w:szCs w:val="21"/>
        </w:rPr>
        <w:t xml:space="preserve"> </w:t>
      </w:r>
      <w:r>
        <w:rPr>
          <w:szCs w:val="21"/>
        </w:rPr>
        <w:t xml:space="preserve"> 可</w:t>
      </w:r>
      <w:r>
        <w:rPr>
          <w:rFonts w:hint="eastAsia"/>
          <w:szCs w:val="21"/>
        </w:rPr>
        <w:t>将</w:t>
      </w:r>
      <w:r>
        <w:rPr>
          <w:szCs w:val="21"/>
        </w:rPr>
        <w:t>建筑垃圾的粉煤灰通过工艺高强固化制成人造砾石和路基集料，满足道路工程长期使用强度和耐久性。</w:t>
      </w:r>
    </w:p>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5</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8</w:t>
      </w:r>
      <w:r>
        <w:rPr>
          <w:rFonts w:ascii="宋体" w:hAnsi="宋体" w:cs="黑体"/>
          <w:bCs/>
          <w:sz w:val="18"/>
          <w:szCs w:val="18"/>
        </w:rPr>
        <w:t xml:space="preserve">  </w:t>
      </w:r>
      <w:r>
        <w:rPr>
          <w:rFonts w:hint="eastAsia" w:eastAsia="黑体" w:cs="黑体"/>
          <w:bCs/>
          <w:sz w:val="18"/>
          <w:szCs w:val="18"/>
        </w:rPr>
        <w:t>建筑垃圾按化学成分分类内容表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8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类别</w:t>
            </w:r>
          </w:p>
        </w:tc>
        <w:tc>
          <w:tcPr>
            <w:tcW w:w="0" w:type="auto"/>
            <w:noWrap w:val="0"/>
            <w:vAlign w:val="center"/>
          </w:tcPr>
          <w:p>
            <w:pPr>
              <w:pStyle w:val="32"/>
              <w:ind w:firstLine="0" w:firstLineChars="0"/>
              <w:jc w:val="center"/>
              <w:rPr>
                <w:rFonts w:ascii="Times New Roman"/>
                <w:bCs/>
                <w:sz w:val="15"/>
              </w:rPr>
            </w:pPr>
            <w:r>
              <w:rPr>
                <w:rFonts w:ascii="Times New Roman"/>
                <w:bCs/>
                <w:sz w:val="15"/>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金属类</w:t>
            </w:r>
          </w:p>
        </w:tc>
        <w:tc>
          <w:tcPr>
            <w:tcW w:w="0" w:type="auto"/>
            <w:noWrap w:val="0"/>
            <w:vAlign w:val="center"/>
          </w:tcPr>
          <w:p>
            <w:pPr>
              <w:pStyle w:val="32"/>
              <w:ind w:firstLine="0" w:firstLineChars="0"/>
              <w:jc w:val="center"/>
              <w:rPr>
                <w:rFonts w:ascii="Times New Roman"/>
                <w:bCs/>
                <w:sz w:val="15"/>
              </w:rPr>
            </w:pPr>
            <w:r>
              <w:rPr>
                <w:rFonts w:ascii="Times New Roman"/>
                <w:bCs/>
                <w:sz w:val="15"/>
              </w:rPr>
              <w:t>钢筋、钢管（焊接、SC、无缝）、铁丝、角钢、型钢、废卡扣、废钢管、铜管、废螺杆、废金属支架、金属桶、电线、电缆、废电箱、废锯片、废钻头、焊条头、废钉子、破损围挡等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无机非金属类</w:t>
            </w:r>
          </w:p>
        </w:tc>
        <w:tc>
          <w:tcPr>
            <w:tcW w:w="0" w:type="auto"/>
            <w:noWrap w:val="0"/>
            <w:vAlign w:val="center"/>
          </w:tcPr>
          <w:p>
            <w:pPr>
              <w:pStyle w:val="32"/>
              <w:ind w:firstLine="0" w:firstLineChars="0"/>
              <w:jc w:val="center"/>
              <w:rPr>
                <w:rFonts w:ascii="Times New Roman"/>
                <w:bCs/>
                <w:sz w:val="15"/>
              </w:rPr>
            </w:pPr>
            <w:r>
              <w:rPr>
                <w:rFonts w:ascii="Times New Roman"/>
                <w:bCs/>
                <w:sz w:val="15"/>
              </w:rPr>
              <w:t>混凝土、碎砖、砂石、素混凝土、砂浆、砌块、水泥、损坏的井盖（混凝土类）等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pPr>
              <w:pStyle w:val="32"/>
              <w:ind w:firstLine="0" w:firstLineChars="0"/>
              <w:jc w:val="center"/>
              <w:rPr>
                <w:rFonts w:ascii="Times New Roman"/>
                <w:bCs/>
                <w:sz w:val="15"/>
              </w:rPr>
            </w:pPr>
            <w:r>
              <w:rPr>
                <w:rFonts w:ascii="Times New Roman"/>
                <w:bCs/>
                <w:sz w:val="15"/>
              </w:rPr>
              <w:t>其他类</w:t>
            </w:r>
          </w:p>
        </w:tc>
        <w:tc>
          <w:tcPr>
            <w:tcW w:w="0" w:type="auto"/>
            <w:noWrap w:val="0"/>
            <w:vAlign w:val="center"/>
          </w:tcPr>
          <w:p>
            <w:pPr>
              <w:pStyle w:val="32"/>
              <w:ind w:firstLine="0" w:firstLineChars="0"/>
              <w:jc w:val="center"/>
              <w:rPr>
                <w:rFonts w:ascii="Times New Roman"/>
                <w:bCs/>
                <w:sz w:val="15"/>
              </w:rPr>
            </w:pPr>
            <w:r>
              <w:rPr>
                <w:rFonts w:ascii="Times New Roman"/>
                <w:bCs/>
                <w:sz w:val="15"/>
              </w:rPr>
              <w:t>木材、木模板、木方、木质包装、纸质包装、塑料包装、塑料、塑料薄膜、防尘网、安全网、废毛毡、废消防箱、防水卷材、预制柱头、保温板、轻质金属夹芯板、机电管材、石膏板等</w:t>
            </w:r>
          </w:p>
        </w:tc>
      </w:tr>
    </w:tbl>
    <w:p>
      <w:pPr>
        <w:keepNext/>
        <w:keepLines/>
        <w:spacing w:before="360" w:after="360" w:line="240" w:lineRule="auto"/>
        <w:jc w:val="center"/>
        <w:outlineLvl w:val="0"/>
        <w:rPr>
          <w:szCs w:val="21"/>
        </w:rPr>
      </w:pPr>
      <w:bookmarkStart w:id="200" w:name="_Toc161134671"/>
      <w:bookmarkStart w:id="201" w:name="_Toc160032814"/>
      <w:bookmarkStart w:id="202" w:name="_Toc160030989"/>
      <w:bookmarkStart w:id="203" w:name="_Toc160030727"/>
      <w:r>
        <w:rPr>
          <w:b/>
          <w:bCs/>
          <w:szCs w:val="21"/>
        </w:rPr>
        <w:br w:type="page"/>
      </w:r>
    </w:p>
    <w:p>
      <w:pPr>
        <w:widowControl/>
        <w:spacing w:line="240" w:lineRule="auto"/>
        <w:jc w:val="left"/>
        <w:rPr>
          <w:b/>
          <w:bCs/>
          <w:szCs w:val="21"/>
        </w:rPr>
      </w:pPr>
    </w:p>
    <w:p>
      <w:pPr>
        <w:keepNext/>
        <w:keepLines/>
        <w:spacing w:before="360" w:after="360" w:line="240" w:lineRule="auto"/>
        <w:jc w:val="center"/>
        <w:outlineLvl w:val="0"/>
        <w:rPr>
          <w:rStyle w:val="19"/>
          <w:rFonts w:ascii="宋体" w:hAnsi="宋体" w:eastAsia="宋体"/>
          <w:b w:val="0"/>
          <w:bCs w:val="0"/>
          <w:sz w:val="28"/>
          <w:szCs w:val="28"/>
        </w:rPr>
      </w:pPr>
      <w:r>
        <w:rPr>
          <w:rStyle w:val="19"/>
          <w:rFonts w:hint="eastAsia" w:ascii="Times New Roman" w:hAnsi="Times New Roman" w:cs="Times New Roman"/>
          <w:sz w:val="28"/>
          <w:szCs w:val="28"/>
        </w:rPr>
        <w:t>6</w:t>
      </w:r>
      <w:r>
        <w:rPr>
          <w:rStyle w:val="19"/>
          <w:rFonts w:hint="eastAsia" w:ascii="宋体" w:hAnsi="宋体"/>
          <w:sz w:val="28"/>
          <w:szCs w:val="28"/>
        </w:rPr>
        <w:t xml:space="preserve">  </w:t>
      </w:r>
      <w:bookmarkStart w:id="204" w:name="OLE_LINK77"/>
      <w:bookmarkStart w:id="205" w:name="OLE_LINK76"/>
      <w:r>
        <w:rPr>
          <w:rStyle w:val="19"/>
          <w:rFonts w:hint="eastAsia" w:ascii="宋体" w:hAnsi="宋体" w:eastAsia="宋体"/>
          <w:b w:val="0"/>
          <w:bCs w:val="0"/>
          <w:sz w:val="28"/>
          <w:szCs w:val="28"/>
        </w:rPr>
        <w:t>低碳材料、技术、工艺与设备</w:t>
      </w:r>
      <w:bookmarkEnd w:id="200"/>
      <w:bookmarkEnd w:id="201"/>
      <w:bookmarkEnd w:id="202"/>
      <w:bookmarkEnd w:id="203"/>
    </w:p>
    <w:bookmarkEnd w:id="204"/>
    <w:bookmarkEnd w:id="205"/>
    <w:p>
      <w:pPr>
        <w:pStyle w:val="4"/>
        <w:spacing w:before="240" w:after="240" w:line="240" w:lineRule="auto"/>
        <w:jc w:val="center"/>
        <w:rPr>
          <w:rFonts w:ascii="黑体" w:hAnsi="黑体" w:eastAsia="黑体"/>
          <w:b w:val="0"/>
          <w:sz w:val="21"/>
          <w:szCs w:val="21"/>
        </w:rPr>
      </w:pPr>
      <w:bookmarkStart w:id="206" w:name="_Toc160030990"/>
      <w:bookmarkStart w:id="207" w:name="_Toc160032815"/>
      <w:bookmarkStart w:id="208" w:name="_Toc161134672"/>
      <w:bookmarkStart w:id="209" w:name="_Toc160030728"/>
      <w:r>
        <w:rPr>
          <w:rFonts w:hint="eastAsia" w:ascii="Times New Roman" w:hAnsi="Times New Roman"/>
          <w:sz w:val="21"/>
          <w:szCs w:val="21"/>
        </w:rPr>
        <w:t>6</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r>
        <w:t>结合工程实际，在确保技术</w:t>
      </w:r>
      <w:r>
        <w:rPr>
          <w:rFonts w:hint="eastAsia"/>
        </w:rPr>
        <w:t>可行性和经济合理性的前提下，</w:t>
      </w:r>
      <w:bookmarkStart w:id="210" w:name="OLE_LINK204"/>
      <w:bookmarkStart w:id="211" w:name="OLE_LINK203"/>
      <w:r>
        <w:rPr>
          <w:rFonts w:hint="eastAsia"/>
        </w:rPr>
        <w:t>道路工程设计</w:t>
      </w:r>
      <w:bookmarkEnd w:id="210"/>
      <w:bookmarkEnd w:id="211"/>
      <w:r>
        <w:rPr>
          <w:rFonts w:hint="eastAsia"/>
        </w:rPr>
        <w:t>应采用低碳材料、技术、工艺与设备等有效控制碳排放的措施。</w:t>
      </w:r>
    </w:p>
    <w:p>
      <w:pPr>
        <w:spacing w:line="240" w:lineRule="auto"/>
      </w:pPr>
      <w:bookmarkStart w:id="212" w:name="OLE_LINK210"/>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rPr>
        <w:t>道路工程设计</w:t>
      </w:r>
      <w:bookmarkEnd w:id="212"/>
      <w:r>
        <w:rPr>
          <w:rFonts w:hint="eastAsia"/>
        </w:rPr>
        <w:t>应选择符合国家或行业标准要求的低碳材料，优先选用可再生、低碳、本地区的绿色建材。</w:t>
      </w:r>
    </w:p>
    <w:p>
      <w:pPr>
        <w:spacing w:line="240" w:lineRule="auto"/>
        <w:rPr>
          <w:szCs w:val="21"/>
        </w:rPr>
      </w:pPr>
      <w:r>
        <w:rPr>
          <w:b/>
          <w:bCs/>
          <w:szCs w:val="21"/>
        </w:rPr>
        <w:t>6</w:t>
      </w:r>
      <w:r>
        <w:rPr>
          <w:rFonts w:hint="eastAsia" w:ascii="宋体" w:hAnsi="宋体"/>
          <w:b/>
          <w:bCs/>
          <w:szCs w:val="21"/>
        </w:rPr>
        <w:t>.</w:t>
      </w:r>
      <w:r>
        <w:rPr>
          <w:b/>
          <w:bCs/>
          <w:szCs w:val="21"/>
        </w:rPr>
        <w:t>1</w:t>
      </w:r>
      <w:r>
        <w:rPr>
          <w:rFonts w:hint="eastAsia" w:ascii="宋体" w:hAnsi="宋体"/>
          <w:b/>
          <w:bCs/>
          <w:szCs w:val="21"/>
        </w:rPr>
        <w:t>.</w:t>
      </w:r>
      <w:r>
        <w:rPr>
          <w:rFonts w:hint="eastAsia"/>
          <w:b/>
          <w:bCs/>
          <w:szCs w:val="21"/>
        </w:rPr>
        <w:t>3</w:t>
      </w:r>
      <w:r>
        <w:rPr>
          <w:szCs w:val="21"/>
        </w:rPr>
        <w:t xml:space="preserve">  </w:t>
      </w:r>
      <w:r>
        <w:rPr>
          <w:rFonts w:hint="eastAsia"/>
        </w:rPr>
        <w:t>道路工程设计</w:t>
      </w:r>
      <w:r>
        <w:rPr>
          <w:rFonts w:hint="eastAsia"/>
          <w:szCs w:val="21"/>
        </w:rPr>
        <w:t>应遵循能源高效利用原则采用低碳技术和工艺。</w:t>
      </w:r>
    </w:p>
    <w:p>
      <w:pPr>
        <w:spacing w:line="240" w:lineRule="auto"/>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rPr>
        <w:t>道路工程设计</w:t>
      </w:r>
      <w:r>
        <w:rPr>
          <w:rFonts w:hint="eastAsia"/>
          <w:bCs/>
          <w:szCs w:val="21"/>
        </w:rPr>
        <w:t>应推广使用清洁、高效、低碳设备。</w:t>
      </w:r>
    </w:p>
    <w:p>
      <w:pPr>
        <w:spacing w:line="240" w:lineRule="auto"/>
      </w:pPr>
      <w:r>
        <w:rPr>
          <w:rFonts w:hint="eastAsia"/>
          <w:b/>
          <w:bCs/>
          <w:szCs w:val="21"/>
        </w:rPr>
        <w:t>6</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rPr>
        <w:t>道路工程碳排放计算报告中应明确低碳材料、技术、工艺与设备的选择依据和技术要求。</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6</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低 碳 材 料</w:t>
      </w:r>
      <w:bookmarkEnd w:id="206"/>
      <w:bookmarkEnd w:id="207"/>
      <w:bookmarkEnd w:id="208"/>
      <w:bookmarkEnd w:id="209"/>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应</w:t>
      </w:r>
      <w:r>
        <w:rPr>
          <w:rFonts w:hint="eastAsia"/>
          <w:szCs w:val="21"/>
        </w:rPr>
        <w:t>优先选用深圳市本地生产的绿色建材。</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应在项目策划、设计阶段考虑采用绿色、节能、环保材料作为工程主材。</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应因地制宜、就地取材，选用循环材料、可再生材料。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应研究和开发低碳材料，尤其是固废资源、利废建材作为替代材料的高附加值利用。</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依据相关标准和指南，可选择排放因子低的材料。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应优先选择国家和行业推广目录中列出的低碳材料。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应优先选用可重复利用的材料。</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可利用粉煤灰、矿渣、外加剂及新材料，减少水泥用量。</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在施工现场，应使用预拌混凝土、预拌砂浆。</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应采用标准化、集成化、模块化构件和部品。</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11</w:t>
      </w:r>
      <w:r>
        <w:rPr>
          <w:rFonts w:hint="eastAsia"/>
          <w:szCs w:val="21"/>
        </w:rPr>
        <w:t xml:space="preserve"> </w:t>
      </w:r>
      <w:r>
        <w:rPr>
          <w:szCs w:val="21"/>
        </w:rPr>
        <w:t xml:space="preserve"> </w:t>
      </w:r>
      <w:r>
        <w:rPr>
          <w:rFonts w:hint="eastAsia"/>
          <w:szCs w:val="21"/>
        </w:rPr>
        <w:t>应选用获得绿色建材评价认证标识的建材和产品。</w:t>
      </w:r>
    </w:p>
    <w:p>
      <w:pPr>
        <w:spacing w:line="240" w:lineRule="auto"/>
        <w:rPr>
          <w:szCs w:val="21"/>
        </w:rPr>
      </w:pPr>
      <w:r>
        <w:rPr>
          <w:rFonts w:hint="eastAsia"/>
          <w:b/>
          <w:bCs/>
          <w:szCs w:val="21"/>
        </w:rPr>
        <w:t>6</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12</w:t>
      </w:r>
      <w:r>
        <w:rPr>
          <w:rFonts w:hint="eastAsia"/>
          <w:szCs w:val="21"/>
        </w:rPr>
        <w:t xml:space="preserve"> </w:t>
      </w:r>
      <w:r>
        <w:rPr>
          <w:szCs w:val="21"/>
        </w:rPr>
        <w:t xml:space="preserve"> </w:t>
      </w:r>
      <w:r>
        <w:rPr>
          <w:rFonts w:hint="eastAsia"/>
          <w:szCs w:val="21"/>
        </w:rPr>
        <w:t>管材、管线、管件可选用耐腐蚀、抗老化、耐久性能好的材料，活动配件可选用长寿命的产品。</w:t>
      </w:r>
    </w:p>
    <w:p>
      <w:pPr>
        <w:pStyle w:val="4"/>
        <w:spacing w:before="240" w:after="240" w:line="240" w:lineRule="auto"/>
        <w:jc w:val="center"/>
        <w:rPr>
          <w:rFonts w:ascii="黑体" w:hAnsi="黑体" w:eastAsia="黑体"/>
          <w:b w:val="0"/>
          <w:sz w:val="21"/>
          <w:szCs w:val="21"/>
        </w:rPr>
      </w:pPr>
      <w:bookmarkStart w:id="213" w:name="_Toc161134673"/>
      <w:bookmarkStart w:id="214" w:name="_Toc160030991"/>
      <w:bookmarkStart w:id="215" w:name="_Toc160030729"/>
      <w:bookmarkStart w:id="216" w:name="_Toc160032816"/>
      <w:r>
        <w:rPr>
          <w:rFonts w:hint="eastAsia" w:ascii="Times New Roman" w:hAnsi="Times New Roman"/>
          <w:sz w:val="21"/>
          <w:szCs w:val="21"/>
        </w:rPr>
        <w:t>6</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低碳技术与工艺</w:t>
      </w:r>
      <w:bookmarkEnd w:id="213"/>
      <w:bookmarkEnd w:id="214"/>
      <w:bookmarkEnd w:id="215"/>
      <w:bookmarkEnd w:id="216"/>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bCs/>
          <w:szCs w:val="21"/>
        </w:rPr>
        <w:t>可结合智能化控制系统，实现对能源使用的精确管理。</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bCs/>
          <w:szCs w:val="21"/>
        </w:rPr>
        <w:t>应采用装配式施工技术与工艺、信息化施工技术与工艺。</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应采用钢结构、预应力结构和新型结构施工技术。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bCs/>
          <w:szCs w:val="21"/>
        </w:rPr>
        <w:t>应采用高性能混凝土应用技术。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应采用高强度、耐候钢材应用技术。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bCs/>
          <w:szCs w:val="21"/>
        </w:rPr>
        <w:t>应采用建筑垃圾减排及回收利用技术。</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宜</w:t>
      </w:r>
      <w:r>
        <w:rPr>
          <w:rFonts w:hint="eastAsia"/>
          <w:bCs/>
          <w:szCs w:val="21"/>
        </w:rPr>
        <w:t>采用淤泥或软土原位固化利用技术和就地固化工艺。</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bCs/>
          <w:szCs w:val="21"/>
        </w:rPr>
        <w:t>应采用建设材料、施工机械设备绿色性能评价及选用技术与工艺。</w:t>
      </w:r>
    </w:p>
    <w:p>
      <w:pPr>
        <w:spacing w:line="240" w:lineRule="auto"/>
        <w:rPr>
          <w:szCs w:val="21"/>
        </w:rPr>
      </w:pPr>
      <w:r>
        <w:rPr>
          <w:rFonts w:hint="eastAsia"/>
          <w:b/>
          <w:bCs/>
          <w:szCs w:val="21"/>
        </w:rPr>
        <w:t>6</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应</w:t>
      </w:r>
      <w:r>
        <w:rPr>
          <w:rFonts w:hint="eastAsia"/>
          <w:bCs/>
          <w:szCs w:val="21"/>
        </w:rPr>
        <w:t>推广应用绿色低碳方面的“四新技术”。</w:t>
      </w:r>
    </w:p>
    <w:p>
      <w:pPr>
        <w:pStyle w:val="4"/>
        <w:spacing w:before="240" w:after="240" w:line="240" w:lineRule="auto"/>
        <w:jc w:val="center"/>
        <w:rPr>
          <w:rFonts w:ascii="黑体" w:hAnsi="黑体" w:eastAsia="黑体"/>
          <w:b w:val="0"/>
          <w:sz w:val="21"/>
          <w:szCs w:val="21"/>
        </w:rPr>
      </w:pPr>
      <w:bookmarkStart w:id="217" w:name="_Toc160030730"/>
      <w:bookmarkStart w:id="218" w:name="_Toc160030992"/>
      <w:bookmarkStart w:id="219" w:name="_Toc160032817"/>
      <w:bookmarkStart w:id="220" w:name="_Toc161134674"/>
      <w:r>
        <w:rPr>
          <w:rFonts w:hint="eastAsia" w:ascii="Times New Roman" w:hAnsi="Times New Roman"/>
          <w:sz w:val="21"/>
          <w:szCs w:val="21"/>
        </w:rPr>
        <w:t>6</w:t>
      </w:r>
      <w:r>
        <w:rPr>
          <w:rFonts w:hint="eastAsia" w:ascii="宋体" w:hAnsi="宋体" w:eastAsia="宋体"/>
          <w:sz w:val="21"/>
          <w:szCs w:val="21"/>
        </w:rPr>
        <w:t>.</w:t>
      </w:r>
      <w:r>
        <w:rPr>
          <w:rFonts w:hint="eastAsia" w:ascii="Times New Roman" w:hAnsi="Times New Roman"/>
          <w:sz w:val="21"/>
          <w:szCs w:val="21"/>
        </w:rPr>
        <w:t>4</w:t>
      </w:r>
      <w:r>
        <w:rPr>
          <w:rFonts w:hint="eastAsia" w:ascii="黑体" w:hAnsi="黑体"/>
          <w:b w:val="0"/>
          <w:sz w:val="21"/>
          <w:szCs w:val="21"/>
        </w:rPr>
        <w:t xml:space="preserve">  </w:t>
      </w:r>
      <w:r>
        <w:rPr>
          <w:rFonts w:hint="eastAsia" w:ascii="黑体" w:hAnsi="黑体" w:eastAsia="黑体"/>
          <w:b w:val="0"/>
          <w:sz w:val="21"/>
          <w:szCs w:val="21"/>
        </w:rPr>
        <w:t>低 碳 设 备</w:t>
      </w:r>
      <w:bookmarkEnd w:id="217"/>
      <w:bookmarkEnd w:id="218"/>
      <w:bookmarkEnd w:id="219"/>
      <w:bookmarkEnd w:id="220"/>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考虑设备的全生命周期成本，应推广使用节能设备、采用变频技术设备。</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rFonts w:hint="eastAsia"/>
          <w:szCs w:val="21"/>
        </w:rPr>
        <w:t xml:space="preserve"> </w:t>
      </w:r>
      <w:r>
        <w:rPr>
          <w:szCs w:val="21"/>
        </w:rPr>
        <w:t xml:space="preserve"> 应</w:t>
      </w:r>
      <w:r>
        <w:rPr>
          <w:rFonts w:hint="eastAsia"/>
          <w:szCs w:val="21"/>
        </w:rPr>
        <w:t>监控重点能耗设备的耗能情况，对多台同类设备实施群控管理。</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rFonts w:hint="eastAsia"/>
          <w:szCs w:val="21"/>
        </w:rPr>
        <w:t xml:space="preserve"> </w:t>
      </w:r>
      <w:r>
        <w:rPr>
          <w:szCs w:val="21"/>
        </w:rPr>
        <w:t xml:space="preserve"> 应</w:t>
      </w:r>
      <w:r>
        <w:rPr>
          <w:rFonts w:hint="eastAsia"/>
          <w:szCs w:val="21"/>
        </w:rPr>
        <w:t>加强设备的进场、安装、使用、维护保养、拆除及退场管理。</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机械设备的管理与利用，应考虑以下因素：</w:t>
      </w:r>
    </w:p>
    <w:p>
      <w:pPr>
        <w:spacing w:line="240" w:lineRule="auto"/>
        <w:ind w:firstLine="421" w:firstLineChars="200"/>
        <w:rPr>
          <w:b/>
          <w:bCs/>
          <w:szCs w:val="21"/>
        </w:rPr>
      </w:pPr>
      <w:r>
        <w:rPr>
          <w:b/>
          <w:bCs/>
          <w:szCs w:val="21"/>
        </w:rPr>
        <w:t>1</w:t>
      </w:r>
      <w:r>
        <w:rPr>
          <w:rFonts w:hint="eastAsia"/>
          <w:b/>
          <w:bCs/>
          <w:szCs w:val="21"/>
        </w:rPr>
        <w:t xml:space="preserve"> </w:t>
      </w:r>
      <w:r>
        <w:rPr>
          <w:b/>
          <w:bCs/>
          <w:szCs w:val="21"/>
        </w:rPr>
        <w:t xml:space="preserve"> </w:t>
      </w:r>
      <w:r>
        <w:rPr>
          <w:rFonts w:hint="eastAsia"/>
          <w:bCs/>
          <w:szCs w:val="21"/>
        </w:rPr>
        <w:t>建立机械设备档案和管理制度，开展能源消耗、水资源消耗及排污的计量；</w:t>
      </w:r>
    </w:p>
    <w:p>
      <w:pPr>
        <w:spacing w:line="240" w:lineRule="auto"/>
        <w:ind w:firstLine="421" w:firstLineChars="200"/>
        <w:rPr>
          <w:b/>
          <w:bCs/>
          <w:szCs w:val="21"/>
        </w:rPr>
      </w:pPr>
      <w:r>
        <w:rPr>
          <w:b/>
          <w:bCs/>
          <w:szCs w:val="21"/>
        </w:rPr>
        <w:t>2</w:t>
      </w:r>
      <w:r>
        <w:rPr>
          <w:rFonts w:hint="eastAsia"/>
          <w:b/>
          <w:bCs/>
          <w:szCs w:val="21"/>
        </w:rPr>
        <w:t xml:space="preserve"> </w:t>
      </w:r>
      <w:r>
        <w:rPr>
          <w:b/>
          <w:bCs/>
          <w:szCs w:val="21"/>
        </w:rPr>
        <w:t xml:space="preserve"> </w:t>
      </w:r>
      <w:r>
        <w:rPr>
          <w:rFonts w:hint="eastAsia"/>
          <w:bCs/>
          <w:szCs w:val="21"/>
        </w:rPr>
        <w:t>记录机械设备的维修保养历史、更换部件、日常使用、工作负荷情况；</w:t>
      </w:r>
    </w:p>
    <w:p>
      <w:pPr>
        <w:spacing w:line="240" w:lineRule="auto"/>
        <w:ind w:firstLine="421" w:firstLineChars="200"/>
        <w:rPr>
          <w:b/>
          <w:bCs/>
          <w:szCs w:val="21"/>
        </w:rPr>
      </w:pPr>
      <w:r>
        <w:rPr>
          <w:rFonts w:hint="eastAsia"/>
          <w:b/>
          <w:bCs/>
          <w:szCs w:val="21"/>
        </w:rPr>
        <w:t xml:space="preserve">3 </w:t>
      </w:r>
      <w:r>
        <w:rPr>
          <w:b/>
          <w:bCs/>
          <w:szCs w:val="21"/>
        </w:rPr>
        <w:t xml:space="preserve"> </w:t>
      </w:r>
      <w:r>
        <w:rPr>
          <w:rFonts w:hint="eastAsia"/>
          <w:bCs/>
          <w:szCs w:val="21"/>
        </w:rPr>
        <w:t>将设计能耗作为机械设备的选用指标，遴选出技术先进、安全、能耗低和效率高的产品</w:t>
      </w:r>
      <w:r>
        <w:rPr>
          <w:bCs/>
          <w:szCs w:val="21"/>
        </w:rPr>
        <w:t>；</w:t>
      </w:r>
    </w:p>
    <w:p>
      <w:pPr>
        <w:spacing w:line="240" w:lineRule="auto"/>
        <w:ind w:firstLine="421" w:firstLineChars="200"/>
        <w:rPr>
          <w:b/>
          <w:bCs/>
          <w:szCs w:val="21"/>
        </w:rPr>
      </w:pPr>
      <w:r>
        <w:rPr>
          <w:rFonts w:hint="eastAsia"/>
          <w:b/>
          <w:bCs/>
          <w:szCs w:val="21"/>
        </w:rPr>
        <w:t xml:space="preserve">4 </w:t>
      </w:r>
      <w:r>
        <w:rPr>
          <w:b/>
          <w:bCs/>
          <w:szCs w:val="21"/>
        </w:rPr>
        <w:t xml:space="preserve"> </w:t>
      </w:r>
      <w:r>
        <w:rPr>
          <w:rFonts w:hint="eastAsia"/>
          <w:bCs/>
          <w:szCs w:val="21"/>
        </w:rPr>
        <w:t>定期检修和维护机械设备，确保其正常运行并延长使用寿命</w:t>
      </w:r>
      <w:r>
        <w:rPr>
          <w:bCs/>
          <w:szCs w:val="21"/>
        </w:rPr>
        <w:t>；</w:t>
      </w:r>
    </w:p>
    <w:p>
      <w:pPr>
        <w:spacing w:line="240" w:lineRule="auto"/>
        <w:ind w:firstLine="421" w:firstLineChars="200"/>
        <w:rPr>
          <w:bCs/>
          <w:szCs w:val="21"/>
        </w:rPr>
      </w:pPr>
      <w:r>
        <w:rPr>
          <w:rFonts w:hint="eastAsia"/>
          <w:b/>
          <w:bCs/>
          <w:szCs w:val="21"/>
        </w:rPr>
        <w:t xml:space="preserve">5 </w:t>
      </w:r>
      <w:r>
        <w:rPr>
          <w:b/>
          <w:bCs/>
          <w:szCs w:val="21"/>
        </w:rPr>
        <w:t xml:space="preserve"> </w:t>
      </w:r>
      <w:r>
        <w:rPr>
          <w:rFonts w:hint="eastAsia"/>
          <w:bCs/>
          <w:szCs w:val="21"/>
        </w:rPr>
        <w:t>将闲置或升级后的机械设备二次出售，或者在租赁平台将机械设备提供给其他建设项目</w:t>
      </w:r>
      <w:r>
        <w:rPr>
          <w:bCs/>
          <w:szCs w:val="21"/>
        </w:rPr>
        <w:t>；</w:t>
      </w:r>
    </w:p>
    <w:p>
      <w:pPr>
        <w:spacing w:line="240" w:lineRule="auto"/>
        <w:ind w:firstLine="421" w:firstLineChars="200"/>
        <w:rPr>
          <w:bCs/>
          <w:szCs w:val="21"/>
        </w:rPr>
      </w:pPr>
      <w:r>
        <w:rPr>
          <w:rFonts w:hint="eastAsia"/>
          <w:b/>
          <w:bCs/>
          <w:szCs w:val="21"/>
        </w:rPr>
        <w:t xml:space="preserve">6 </w:t>
      </w:r>
      <w:r>
        <w:rPr>
          <w:b/>
          <w:bCs/>
          <w:szCs w:val="21"/>
        </w:rPr>
        <w:t xml:space="preserve"> </w:t>
      </w:r>
      <w:r>
        <w:rPr>
          <w:rFonts w:hint="eastAsia"/>
          <w:bCs/>
          <w:szCs w:val="21"/>
        </w:rPr>
        <w:t>对损坏或报废的机械设备拆解，再利用回收的部件，用于修复和维护其他相关机械设备</w:t>
      </w:r>
      <w:r>
        <w:rPr>
          <w:bCs/>
          <w:szCs w:val="21"/>
        </w:rPr>
        <w:t>；</w:t>
      </w:r>
    </w:p>
    <w:p>
      <w:pPr>
        <w:spacing w:line="240" w:lineRule="auto"/>
        <w:ind w:firstLine="421" w:firstLineChars="200"/>
        <w:rPr>
          <w:bCs/>
          <w:szCs w:val="21"/>
        </w:rPr>
      </w:pPr>
      <w:r>
        <w:rPr>
          <w:rFonts w:hint="eastAsia"/>
          <w:b/>
          <w:bCs/>
          <w:szCs w:val="21"/>
        </w:rPr>
        <w:t xml:space="preserve">7 </w:t>
      </w:r>
      <w:r>
        <w:rPr>
          <w:b/>
          <w:bCs/>
          <w:szCs w:val="21"/>
        </w:rPr>
        <w:t xml:space="preserve"> </w:t>
      </w:r>
      <w:r>
        <w:rPr>
          <w:rFonts w:hint="eastAsia"/>
          <w:bCs/>
          <w:szCs w:val="21"/>
        </w:rPr>
        <w:t>对机械设备改造和优化升级，对未达到能耗限额标准、高能耗的机械设备予以淘汰</w:t>
      </w:r>
      <w:r>
        <w:rPr>
          <w:bCs/>
          <w:szCs w:val="21"/>
        </w:rPr>
        <w:t>；</w:t>
      </w:r>
    </w:p>
    <w:p>
      <w:pPr>
        <w:spacing w:line="240" w:lineRule="auto"/>
        <w:ind w:firstLine="421" w:firstLineChars="200"/>
        <w:rPr>
          <w:bCs/>
          <w:szCs w:val="21"/>
        </w:rPr>
      </w:pPr>
      <w:r>
        <w:rPr>
          <w:rFonts w:hint="eastAsia"/>
          <w:b/>
          <w:bCs/>
          <w:szCs w:val="21"/>
        </w:rPr>
        <w:t xml:space="preserve">8 </w:t>
      </w:r>
      <w:r>
        <w:rPr>
          <w:b/>
          <w:bCs/>
          <w:szCs w:val="21"/>
        </w:rPr>
        <w:t xml:space="preserve"> </w:t>
      </w:r>
      <w:bookmarkStart w:id="221" w:name="OLE_LINK209"/>
      <w:bookmarkStart w:id="222" w:name="OLE_LINK207"/>
      <w:bookmarkStart w:id="223" w:name="OLE_LINK208"/>
      <w:r>
        <w:rPr>
          <w:rFonts w:hint="eastAsia"/>
          <w:bCs/>
          <w:szCs w:val="21"/>
        </w:rPr>
        <w:t>合理安排施工工序和施工进度，共享施工机械和设备资源；</w:t>
      </w:r>
    </w:p>
    <w:bookmarkEnd w:id="221"/>
    <w:bookmarkEnd w:id="222"/>
    <w:bookmarkEnd w:id="223"/>
    <w:p>
      <w:pPr>
        <w:spacing w:line="240" w:lineRule="auto"/>
        <w:ind w:firstLine="421" w:firstLineChars="200"/>
        <w:rPr>
          <w:bCs/>
          <w:szCs w:val="21"/>
        </w:rPr>
      </w:pPr>
      <w:r>
        <w:rPr>
          <w:rFonts w:hint="eastAsia"/>
          <w:b/>
          <w:bCs/>
          <w:szCs w:val="21"/>
        </w:rPr>
        <w:t xml:space="preserve">9 </w:t>
      </w:r>
      <w:r>
        <w:rPr>
          <w:b/>
          <w:bCs/>
          <w:szCs w:val="21"/>
        </w:rPr>
        <w:t xml:space="preserve"> </w:t>
      </w:r>
      <w:r>
        <w:rPr>
          <w:rFonts w:hint="eastAsia"/>
          <w:bCs/>
          <w:szCs w:val="21"/>
        </w:rPr>
        <w:t>利用智能监控系统和远程监测技术手段，实时跟踪和监控机械设备的使用情况和性能；</w:t>
      </w:r>
    </w:p>
    <w:p>
      <w:pPr>
        <w:spacing w:line="240" w:lineRule="auto"/>
        <w:ind w:firstLine="421" w:firstLineChars="200"/>
        <w:rPr>
          <w:bCs/>
          <w:szCs w:val="21"/>
        </w:rPr>
      </w:pPr>
      <w:r>
        <w:rPr>
          <w:rFonts w:hint="eastAsia"/>
          <w:b/>
          <w:bCs/>
          <w:szCs w:val="21"/>
        </w:rPr>
        <w:t xml:space="preserve">10 </w:t>
      </w:r>
      <w:r>
        <w:rPr>
          <w:b/>
          <w:bCs/>
          <w:szCs w:val="21"/>
        </w:rPr>
        <w:t xml:space="preserve"> </w:t>
      </w:r>
      <w:r>
        <w:rPr>
          <w:rFonts w:hint="eastAsia"/>
          <w:bCs/>
          <w:szCs w:val="21"/>
        </w:rPr>
        <w:t>组织设备操作、维护和管理相关的培训活动，提高员工的操作技能和维护意识。</w:t>
      </w:r>
    </w:p>
    <w:p>
      <w:pPr>
        <w:spacing w:line="240" w:lineRule="auto"/>
        <w:rPr>
          <w:szCs w:val="21"/>
        </w:rPr>
      </w:pPr>
      <w:r>
        <w:rPr>
          <w:rFonts w:hint="eastAsia"/>
          <w:b/>
          <w:bCs/>
          <w:szCs w:val="21"/>
        </w:rPr>
        <w:t>6</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加强对主要机械设备能源消耗的计量，</w:t>
      </w:r>
      <w:bookmarkStart w:id="224" w:name="OLE_LINK46"/>
      <w:bookmarkStart w:id="225" w:name="OLE_LINK38"/>
      <w:r>
        <w:rPr>
          <w:rFonts w:hint="eastAsia"/>
          <w:szCs w:val="21"/>
        </w:rPr>
        <w:t>应考虑以下因素：</w:t>
      </w:r>
      <w:bookmarkEnd w:id="224"/>
      <w:bookmarkEnd w:id="225"/>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挖掘、装载、运输等机械设备；</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路面混合料拌和、摊铺、碾压等机械设备；</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桥梁桩工和构件预制、安装等机械设备；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隧道掘进、通风、照明等机械设备</w:t>
      </w:r>
      <w:r>
        <w:rPr>
          <w:szCs w:val="21"/>
        </w:rPr>
        <w:t>。</w:t>
      </w:r>
    </w:p>
    <w:p>
      <w:pPr>
        <w:spacing w:line="240" w:lineRule="auto"/>
        <w:rPr>
          <w:szCs w:val="21"/>
        </w:rPr>
      </w:pPr>
    </w:p>
    <w:p>
      <w:pPr>
        <w:widowControl/>
        <w:spacing w:line="240" w:lineRule="auto"/>
        <w:jc w:val="left"/>
        <w:rPr>
          <w:szCs w:val="21"/>
        </w:rPr>
      </w:pPr>
      <w:r>
        <w:rPr>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226" w:name="_Toc160030993"/>
      <w:bookmarkStart w:id="227" w:name="_Toc160030731"/>
      <w:bookmarkStart w:id="228" w:name="_Toc160032818"/>
      <w:bookmarkStart w:id="229" w:name="_Toc161134675"/>
      <w:r>
        <w:rPr>
          <w:rStyle w:val="19"/>
          <w:rFonts w:hint="eastAsia" w:ascii="Times New Roman" w:hAnsi="Times New Roman" w:cs="Times New Roman"/>
          <w:sz w:val="28"/>
          <w:szCs w:val="28"/>
        </w:rPr>
        <w:t>7</w:t>
      </w:r>
      <w:r>
        <w:rPr>
          <w:rStyle w:val="19"/>
          <w:rFonts w:hint="eastAsia" w:ascii="宋体" w:hAnsi="宋体"/>
          <w:sz w:val="28"/>
          <w:szCs w:val="28"/>
        </w:rPr>
        <w:t xml:space="preserve">  </w:t>
      </w:r>
      <w:bookmarkEnd w:id="226"/>
      <w:bookmarkEnd w:id="227"/>
      <w:bookmarkEnd w:id="228"/>
      <w:bookmarkEnd w:id="229"/>
      <w:r>
        <w:rPr>
          <w:rStyle w:val="19"/>
          <w:rFonts w:hint="eastAsia" w:ascii="宋体" w:hAnsi="宋体" w:eastAsia="宋体"/>
          <w:b w:val="0"/>
          <w:bCs w:val="0"/>
          <w:sz w:val="28"/>
          <w:szCs w:val="28"/>
        </w:rPr>
        <w:t>全寿命周期低碳设计要求</w:t>
      </w:r>
    </w:p>
    <w:p>
      <w:pPr>
        <w:pStyle w:val="4"/>
        <w:spacing w:before="240" w:after="240" w:line="240" w:lineRule="auto"/>
        <w:jc w:val="center"/>
        <w:rPr>
          <w:rFonts w:ascii="黑体" w:hAnsi="黑体" w:eastAsia="黑体"/>
          <w:b w:val="0"/>
          <w:sz w:val="21"/>
          <w:szCs w:val="21"/>
        </w:rPr>
      </w:pPr>
      <w:bookmarkStart w:id="230" w:name="_Toc160030994"/>
      <w:bookmarkStart w:id="231" w:name="_Toc160030732"/>
      <w:bookmarkStart w:id="232" w:name="_Toc161134676"/>
      <w:bookmarkStart w:id="233" w:name="_Toc160032819"/>
      <w:r>
        <w:rPr>
          <w:rFonts w:hint="eastAsia" w:ascii="Times New Roman" w:hAnsi="Times New Roman"/>
          <w:sz w:val="21"/>
          <w:szCs w:val="21"/>
        </w:rPr>
        <w:t>7</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rPr>
          <w:szCs w:val="21"/>
        </w:rPr>
      </w:pPr>
      <w:bookmarkStart w:id="234" w:name="OLE_LINK213"/>
      <w:bookmarkStart w:id="235" w:name="OLE_LINK212"/>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bookmarkEnd w:id="234"/>
      <w:bookmarkEnd w:id="235"/>
      <w:bookmarkStart w:id="236" w:name="OLE_LINK214"/>
      <w:r>
        <w:rPr>
          <w:rFonts w:hint="eastAsia"/>
          <w:szCs w:val="21"/>
        </w:rPr>
        <w:t>道路工程低碳设计</w:t>
      </w:r>
      <w:bookmarkEnd w:id="236"/>
      <w:r>
        <w:rPr>
          <w:rFonts w:hint="eastAsia"/>
          <w:szCs w:val="21"/>
        </w:rPr>
        <w:t>应在遵循现行标准、规范、规定和相关技术要求下，精确核算施工、运营维护以及拆除等相关活动的碳排放量。</w:t>
      </w:r>
    </w:p>
    <w:p>
      <w:pPr>
        <w:spacing w:line="240" w:lineRule="auto"/>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根据工程规模及工程特点，</w:t>
      </w:r>
      <w:bookmarkStart w:id="237" w:name="OLE_LINK215"/>
      <w:bookmarkStart w:id="238" w:name="OLE_LINK216"/>
      <w:r>
        <w:rPr>
          <w:rFonts w:hint="eastAsia"/>
          <w:szCs w:val="21"/>
        </w:rPr>
        <w:t>道路工程低碳设计</w:t>
      </w:r>
      <w:bookmarkEnd w:id="237"/>
      <w:bookmarkEnd w:id="238"/>
      <w:r>
        <w:rPr>
          <w:rFonts w:hint="eastAsia"/>
          <w:szCs w:val="21"/>
        </w:rPr>
        <w:t>应制定合理的低碳方案，并针对每个单位工程采取相应的低碳措施。</w:t>
      </w:r>
    </w:p>
    <w:p>
      <w:pPr>
        <w:spacing w:line="240" w:lineRule="auto"/>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对于道路工程的低碳方案和措施，应加强评估来确认各方案和措施是否达到预期效果。</w:t>
      </w:r>
    </w:p>
    <w:p>
      <w:pPr>
        <w:spacing w:line="240" w:lineRule="auto"/>
        <w:rPr>
          <w:szCs w:val="21"/>
        </w:rPr>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4</w:t>
      </w:r>
      <w:r>
        <w:rPr>
          <w:rFonts w:hint="eastAsia"/>
          <w:szCs w:val="21"/>
        </w:rPr>
        <w:t xml:space="preserve"> </w:t>
      </w:r>
      <w:r>
        <w:rPr>
          <w:szCs w:val="21"/>
        </w:rPr>
        <w:t xml:space="preserve"> 在</w:t>
      </w:r>
      <w:r>
        <w:rPr>
          <w:rFonts w:hint="eastAsia"/>
          <w:szCs w:val="21"/>
        </w:rPr>
        <w:t>道路工程设计和建造过程中，应采用大数据分析、云计算技术和BIM技术等手段，通过优化结构规划、科学布设施工场地以及采用绿色材料、可再生能源、低碳技术、设计参数优化等实现低碳减排目标。</w:t>
      </w:r>
    </w:p>
    <w:p>
      <w:pPr>
        <w:spacing w:line="240" w:lineRule="auto"/>
      </w:pPr>
      <w:r>
        <w:rPr>
          <w:rFonts w:hint="eastAsia"/>
          <w:b/>
          <w:bCs/>
          <w:szCs w:val="21"/>
        </w:rPr>
        <w:t>7</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5</w:t>
      </w:r>
      <w:r>
        <w:rPr>
          <w:rFonts w:hint="eastAsia"/>
          <w:szCs w:val="21"/>
        </w:rPr>
        <w:t xml:space="preserve"> </w:t>
      </w:r>
      <w:r>
        <w:rPr>
          <w:szCs w:val="21"/>
        </w:rPr>
        <w:t xml:space="preserve"> 在现行</w:t>
      </w:r>
      <w:r>
        <w:rPr>
          <w:rFonts w:hint="eastAsia"/>
          <w:szCs w:val="21"/>
        </w:rPr>
        <w:t>标准及规范的基础上，道路工程低碳设计应从</w:t>
      </w:r>
      <w:bookmarkStart w:id="239" w:name="OLE_LINK217"/>
      <w:r>
        <w:rPr>
          <w:rFonts w:hint="eastAsia"/>
          <w:szCs w:val="21"/>
        </w:rPr>
        <w:t>平面、纵断面、横断面</w:t>
      </w:r>
      <w:bookmarkEnd w:id="239"/>
      <w:r>
        <w:rPr>
          <w:rFonts w:hint="eastAsia"/>
          <w:szCs w:val="21"/>
        </w:rPr>
        <w:t>、土石方、速度、路面、桥梁涵洞、隧道、绿化、海绵型道路、数字设计等方面提出参数优化建议。</w:t>
      </w:r>
    </w:p>
    <w:p>
      <w:pPr>
        <w:pStyle w:val="4"/>
        <w:spacing w:before="240" w:after="240" w:line="240" w:lineRule="auto"/>
        <w:jc w:val="center"/>
        <w:rPr>
          <w:rFonts w:ascii="Times New Roman" w:hAnsi="Times New Roman"/>
          <w:sz w:val="21"/>
          <w:szCs w:val="21"/>
        </w:rPr>
      </w:pPr>
      <w:r>
        <w:rPr>
          <w:rFonts w:hint="eastAsia" w:ascii="Times New Roman" w:hAnsi="Times New Roman"/>
          <w:sz w:val="21"/>
          <w:szCs w:val="21"/>
        </w:rPr>
        <w:t xml:space="preserve">7.2  </w:t>
      </w:r>
      <w:r>
        <w:rPr>
          <w:rFonts w:hint="eastAsia" w:ascii="黑体" w:hAnsi="黑体" w:eastAsia="黑体"/>
          <w:b w:val="0"/>
          <w:sz w:val="21"/>
          <w:szCs w:val="21"/>
        </w:rPr>
        <w:t>设计阶段低碳设计要求</w:t>
      </w:r>
    </w:p>
    <w:p>
      <w:pPr>
        <w:spacing w:line="240" w:lineRule="auto"/>
        <w:rPr>
          <w:szCs w:val="21"/>
        </w:rPr>
      </w:pPr>
      <w:bookmarkStart w:id="240" w:name="OLE_LINK25"/>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总体工程</w:t>
      </w:r>
    </w:p>
    <w:p>
      <w:pPr>
        <w:spacing w:line="240" w:lineRule="auto"/>
        <w:ind w:firstLine="421" w:firstLineChars="200"/>
        <w:rPr>
          <w:bCs/>
          <w:szCs w:val="21"/>
        </w:rPr>
      </w:pPr>
      <w:bookmarkStart w:id="241" w:name="OLE_LINK81"/>
      <w:r>
        <w:rPr>
          <w:b/>
          <w:bCs/>
          <w:szCs w:val="21"/>
        </w:rPr>
        <w:t>1</w:t>
      </w:r>
      <w:r>
        <w:rPr>
          <w:rFonts w:hint="eastAsia"/>
          <w:szCs w:val="21"/>
        </w:rPr>
        <w:t xml:space="preserve"> </w:t>
      </w:r>
      <w:r>
        <w:rPr>
          <w:szCs w:val="21"/>
        </w:rPr>
        <w:t xml:space="preserve"> </w:t>
      </w:r>
      <w:r>
        <w:rPr>
          <w:rFonts w:hint="eastAsia"/>
          <w:bCs/>
          <w:szCs w:val="21"/>
        </w:rPr>
        <w:t>应避免高填深挖，可选择低路堤和浅路堑的设计方案；</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应考虑与现有的道路工程或基础设施共享资源；</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应充分利用荒地、空地、废弃地、劣地布线，减少沿线建筑、居民区、电力电讯设施的拆迁量；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应统筹考虑施工期的临时工程布置，临建工程设置可与永久占地相结合；</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bCs/>
          <w:szCs w:val="21"/>
        </w:rPr>
        <w:t>临建设施布置应注意远近结合，</w:t>
      </w:r>
      <w:r>
        <w:rPr>
          <w:rFonts w:hint="eastAsia"/>
          <w:szCs w:val="21"/>
        </w:rPr>
        <w:t>优先利用建设用地、路基、取弃土场所；</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搅拌站、仓库、加工厂、作业棚、材料堆场布置应靠近已有交通线路或即将修建的正式或临时交通线路；</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应制定高填路堤与桥梁、深挖路堑与隧道、分离式路基、分离式隧道论证比选方案；</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在选用互通型式和匝道线形时，应合理布设紧凑布局的互通式立交；</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应积极推进取土、弃渣与改地、造地综合措施；</w:t>
      </w:r>
    </w:p>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r>
        <w:rPr>
          <w:rFonts w:hint="eastAsia"/>
          <w:bCs/>
          <w:szCs w:val="21"/>
        </w:rPr>
        <w:t>应统筹全线土石方调配，有效利用挖方及隧道弃渣，合理选择道路的纵、横断面，实现填挖平衡；</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应提升工业化建造水平，优先采用标准化设计、模块化设计，提高后期养护的便利性；</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应实行工厂化集中生产和装配化施工工艺；</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w:t>
      </w:r>
      <w:r>
        <w:rPr>
          <w:rFonts w:hint="eastAsia"/>
          <w:szCs w:val="21"/>
        </w:rPr>
        <w:t>改扩建项目应最大限度地利用既有工程，灵活运用技术指标，在保证安全的前提下降低对环境的影响；</w:t>
      </w:r>
    </w:p>
    <w:p>
      <w:pPr>
        <w:spacing w:line="240" w:lineRule="auto"/>
        <w:ind w:firstLine="421" w:firstLineChars="200"/>
        <w:rPr>
          <w:szCs w:val="21"/>
        </w:rPr>
      </w:pPr>
      <w:r>
        <w:rPr>
          <w:rFonts w:hint="eastAsia"/>
          <w:b/>
          <w:bCs/>
          <w:szCs w:val="21"/>
        </w:rPr>
        <w:t>14</w:t>
      </w:r>
      <w:r>
        <w:rPr>
          <w:rFonts w:hint="eastAsia"/>
          <w:szCs w:val="21"/>
        </w:rPr>
        <w:t xml:space="preserve"> </w:t>
      </w:r>
      <w:r>
        <w:rPr>
          <w:szCs w:val="21"/>
        </w:rPr>
        <w:t xml:space="preserve"> </w:t>
      </w:r>
      <w:r>
        <w:rPr>
          <w:rFonts w:hint="eastAsia"/>
          <w:szCs w:val="21"/>
        </w:rPr>
        <w:t>对改扩建方式进行多方案比选，因地制宜采用平面扩建或立体扩建，减少新增建设用地和征地拆迁；</w:t>
      </w:r>
    </w:p>
    <w:p>
      <w:pPr>
        <w:spacing w:line="240" w:lineRule="auto"/>
        <w:ind w:firstLine="421" w:firstLineChars="200"/>
        <w:rPr>
          <w:szCs w:val="21"/>
        </w:rPr>
      </w:pPr>
      <w:r>
        <w:rPr>
          <w:rFonts w:hint="eastAsia"/>
          <w:b/>
          <w:bCs/>
          <w:szCs w:val="21"/>
        </w:rPr>
        <w:t>15</w:t>
      </w:r>
      <w:r>
        <w:rPr>
          <w:rFonts w:hint="eastAsia"/>
          <w:szCs w:val="21"/>
        </w:rPr>
        <w:t xml:space="preserve"> </w:t>
      </w:r>
      <w:r>
        <w:rPr>
          <w:szCs w:val="21"/>
        </w:rPr>
        <w:t xml:space="preserve"> </w:t>
      </w:r>
      <w:r>
        <w:rPr>
          <w:rFonts w:hint="eastAsia"/>
          <w:szCs w:val="21"/>
        </w:rPr>
        <w:t>应有效利用地域自然条件，尊重城市肌理和地域风貌，实现道路工程布局、交通组织、场地环境、场地设施和管网等合理设计。</w:t>
      </w:r>
    </w:p>
    <w:bookmarkEnd w:id="240"/>
    <w:bookmarkEnd w:id="241"/>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路线工程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可根据运行速度检验结果，通过对平曲线半径精细取值，主动控制驾驶员行车速度，使运行速度平稳连续；</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应灵活选择纵面设计指标，增加变坡点，使平纵线形吻合地形；</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平曲线半径、纵坡坡度和坡长不宜使车辆频繁制动；</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因地形、地质条件限制必须设在曲线上时，隧道应采用较大的平曲线半径；</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在隧道进出口路段，可结合地形地质条件，适当提高洞口高程，增加隧道连接线填方数量，消化隧道弃方；</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在选择路线交叉型式和规模时，应考虑工程量和占地面积少、通行能力高以及车流顺畅运行的技术指标；</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szCs w:val="21"/>
        </w:rPr>
        <w:t>对于地形变化较大的路段，应优化平纵线形，移挖作填，最大限度地纵横向调配利用，减少借方和弃方。</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路基工程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应根据道路功能、技术等级、交通量及交通组成，结合沿线地形、地质、筑路材料及气候环境等因素，以耐久和低碳的原则，确定路基结构；</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w:t>
      </w:r>
      <w:bookmarkStart w:id="242" w:name="OLE_LINK85"/>
      <w:r>
        <w:rPr>
          <w:rFonts w:hint="eastAsia"/>
          <w:szCs w:val="21"/>
        </w:rPr>
        <w:t>优化路基宽度、厚度和坡度等指标</w:t>
      </w:r>
      <w:bookmarkEnd w:id="242"/>
      <w:r>
        <w:rPr>
          <w:rFonts w:hint="eastAsia"/>
          <w:szCs w:val="21"/>
        </w:rPr>
        <w:t>，合理控制路基的开挖量和填方量，确保路基的结构稳定和荷载承载能力；</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应</w:t>
      </w:r>
      <w:r>
        <w:rPr>
          <w:rFonts w:hint="eastAsia"/>
          <w:bCs/>
          <w:szCs w:val="21"/>
        </w:rPr>
        <w:t>严格控制高填深挖路基，在路线方案优化的基础上，应充分比选桥梁、隧道、半桥半路、半隧半路、分离式路基等方案；</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路基土石方应合理调配，力求自身利用平衡，减少设置取土场、弃渣场；</w:t>
      </w:r>
      <w:r>
        <w:rPr>
          <w:szCs w:val="21"/>
        </w:rPr>
        <w:t xml:space="preserve"> </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在技术和经济可行的条件下，可利用符合技术要求的粉煤灰、煤矸石、矿渣等工业废渣以及其他建筑工程（河道整治、其他水库开挖等）的废弃土石方；</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填方路基</w:t>
      </w:r>
      <w:r>
        <w:rPr>
          <w:rFonts w:hint="eastAsia"/>
          <w:szCs w:val="21"/>
        </w:rPr>
        <w:t>应</w:t>
      </w:r>
      <w:r>
        <w:rPr>
          <w:szCs w:val="21"/>
        </w:rPr>
        <w:t>优先选用建筑</w:t>
      </w:r>
      <w:r>
        <w:rPr>
          <w:rFonts w:hint="eastAsia"/>
          <w:szCs w:val="21"/>
        </w:rPr>
        <w:t>垃圾</w:t>
      </w:r>
      <w:r>
        <w:rPr>
          <w:szCs w:val="21"/>
        </w:rPr>
        <w:t>、</w:t>
      </w:r>
      <w:r>
        <w:rPr>
          <w:rFonts w:hint="eastAsia"/>
          <w:szCs w:val="21"/>
        </w:rPr>
        <w:t>旧</w:t>
      </w:r>
      <w:r>
        <w:rPr>
          <w:szCs w:val="21"/>
        </w:rPr>
        <w:t>路结构翻挖废料、生活垃圾、焚烧炉渣、弃土固化土等填筑</w:t>
      </w:r>
      <w:r>
        <w:rPr>
          <w:rFonts w:hint="eastAsia"/>
          <w:bCs/>
          <w:szCs w:val="21"/>
        </w:rPr>
        <w:t>；</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可</w:t>
      </w:r>
      <w:r>
        <w:rPr>
          <w:szCs w:val="21"/>
        </w:rPr>
        <w:t>在满足路基最小填土高度、桥涵构造物净空要求的情况下，适应地形起伏，降低路基高度</w:t>
      </w:r>
      <w:r>
        <w:rPr>
          <w:rFonts w:hint="eastAsia"/>
          <w:szCs w:val="21"/>
        </w:rPr>
        <w:t>；</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应追求边坡的自然稳定，避免过渡使用预应力锚索、锚杆、桩板墙等工程防护和支挡措施；</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可</w:t>
      </w:r>
      <w:r>
        <w:rPr>
          <w:rFonts w:hint="eastAsia"/>
          <w:bCs/>
          <w:szCs w:val="21"/>
        </w:rPr>
        <w:t>采用机械化设备通过掺加固化剂对土体进行改良的软土固化技术；</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旧路加宽扩建时，应对其使用状况、拓宽改造的建设条件、既有设施和资源的可利用程度、拼接加宽结构的安全性以及改扩建后的运营安全性等做出全面评估，并在此基础上深化路基加宽方式，</w:t>
      </w:r>
      <w:r>
        <w:rPr>
          <w:rFonts w:hint="eastAsia"/>
          <w:szCs w:val="21"/>
        </w:rPr>
        <w:t>进行</w:t>
      </w:r>
      <w:r>
        <w:rPr>
          <w:szCs w:val="21"/>
        </w:rPr>
        <w:t>单侧整体加宽、单侧分离加宽、两侧整体加宽、两侧分离加宽等方案的比选</w:t>
      </w:r>
      <w:r>
        <w:rPr>
          <w:rFonts w:hint="eastAsia"/>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路面工程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应结合道路等级、结构层位、气候条件、水文条件、交通情况及施工能耗等工程建设条件，选择经济耐久和低碳的材料；</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应积极推行废旧沥青路面和水泥混凝土路面的再生和循环利用；</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应运用聚合物水泥混凝土、高强轻质混凝土等新型路面材料；</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应选择耐久性高、抗压、抗磨损和抗老化性能好的路面材料，降低路面破损和修复频率；</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在不影响路面性能的前提下，可采用长寿命路面、排水路面、降温路面、反射式凉爽路面、发电路面、彩色路面等功能性路面；</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可通过路面厚度设计、截面形状和排水系统设置，减少路面受损和变形，延长路面使用寿命；</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可</w:t>
      </w:r>
      <w:r>
        <w:rPr>
          <w:rFonts w:hint="eastAsia"/>
          <w:bCs/>
          <w:szCs w:val="21"/>
        </w:rPr>
        <w:t>选择具有高反射率的路面材料，减少因路面吸热而导致的城市热岛效应；</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应采用先进的施工技术工艺和新型的路面材料，提高路面平整度；</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bookmarkStart w:id="243" w:name="OLE_LINK206"/>
      <w:r>
        <w:rPr>
          <w:rFonts w:hint="eastAsia"/>
          <w:bCs/>
          <w:szCs w:val="21"/>
        </w:rPr>
        <w:t>水泥混凝土路面改建为沥青混凝土路面时，通过对旧水泥路面进行检测评定，可选择采用水泥压浆、高分子注浆、就地破碎再利用等方案，最大限度地利用现有水泥混凝土路面结构与材料；</w:t>
      </w:r>
    </w:p>
    <w:bookmarkEnd w:id="243"/>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bookmarkStart w:id="244" w:name="OLE_LINK86"/>
      <w:r>
        <w:rPr>
          <w:szCs w:val="21"/>
        </w:rPr>
        <w:t>机动车道、非机动车道、人行道宜根据实际情况和使用功能采用透水降噪路面</w:t>
      </w:r>
      <w:bookmarkEnd w:id="244"/>
      <w:r>
        <w:rPr>
          <w:szCs w:val="21"/>
        </w:rPr>
        <w:t>，包括透水沥青混凝土、透水水泥混凝土和透水砖等</w:t>
      </w:r>
      <w:r>
        <w:rPr>
          <w:rFonts w:hint="eastAsia"/>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桥梁涵洞工程</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w:t>
      </w:r>
      <w:r>
        <w:rPr>
          <w:rFonts w:hint="eastAsia"/>
          <w:szCs w:val="21"/>
        </w:rPr>
        <w:t>桥梁结构选型应考虑行车舒适性、耐久性、管养等</w:t>
      </w:r>
      <w:bookmarkStart w:id="245" w:name="OLE_LINK87"/>
      <w:r>
        <w:rPr>
          <w:rFonts w:hint="eastAsia"/>
          <w:szCs w:val="21"/>
        </w:rPr>
        <w:t>方面</w:t>
      </w:r>
      <w:bookmarkEnd w:id="245"/>
      <w:r>
        <w:rPr>
          <w:rFonts w:hint="eastAsia"/>
          <w:szCs w:val="21"/>
        </w:rPr>
        <w:t>因素，可优先采用连续结构；</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应注重结构设计体系化、构件标准化、制造工厂化、加工自动化、现场安装装配化、建造运维信息化以及拆除部件再利用化；</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宜采用钢结构、装配式混凝土结构、高性能混凝土结构等适宜工业化建造的结构型式</w:t>
      </w:r>
      <w:r>
        <w:rPr>
          <w:rFonts w:hint="eastAsia"/>
          <w:szCs w:val="21"/>
        </w:rPr>
        <w:t>；</w:t>
      </w:r>
    </w:p>
    <w:p>
      <w:pPr>
        <w:spacing w:line="240" w:lineRule="auto"/>
        <w:ind w:firstLine="421" w:firstLineChars="200"/>
        <w:rPr>
          <w:bCs/>
          <w:szCs w:val="21"/>
        </w:rPr>
      </w:pPr>
      <w:bookmarkStart w:id="246" w:name="OLE_LINK122"/>
      <w:r>
        <w:rPr>
          <w:rFonts w:hint="eastAsia"/>
          <w:b/>
          <w:bCs/>
          <w:szCs w:val="21"/>
        </w:rPr>
        <w:t>4</w:t>
      </w:r>
      <w:r>
        <w:rPr>
          <w:rFonts w:hint="eastAsia"/>
          <w:szCs w:val="21"/>
        </w:rPr>
        <w:t xml:space="preserve"> </w:t>
      </w:r>
      <w:r>
        <w:rPr>
          <w:szCs w:val="21"/>
        </w:rPr>
        <w:t xml:space="preserve"> </w:t>
      </w:r>
      <w:bookmarkEnd w:id="246"/>
      <w:r>
        <w:rPr>
          <w:rFonts w:hint="eastAsia"/>
          <w:bCs/>
          <w:szCs w:val="21"/>
        </w:rPr>
        <w:t>应选择桥梁总长度短、与引道衔接顺畅、便于施工和材料运输的方案；</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在满足使用功能的前提下，宜采用降低上部结构高度的结构种类，降低桥面高程和桥台填土高度；</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受地形和生态环境约束时，可灵活采用高低桥、半路半桥等方案；</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应充分利用地形条件来设计桥孔，减少大填大挖工程量和大型深水基础施工；</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当桥墩较高时，应进行分幅双柱墩、分幅薄壁墩和整幅双柱墩的方案比选；</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桥梁设计应考虑养护需求，按照可到达、可检查、可维修和更换的原则，为运营期检修与养护做好预留预埋；</w:t>
      </w:r>
    </w:p>
    <w:p>
      <w:pPr>
        <w:spacing w:line="240" w:lineRule="auto"/>
        <w:ind w:firstLine="421" w:firstLineChars="200"/>
        <w:rPr>
          <w:bCs/>
          <w:szCs w:val="21"/>
        </w:rPr>
      </w:pPr>
      <w:r>
        <w:rPr>
          <w:rFonts w:hint="eastAsia"/>
          <w:b/>
          <w:bCs/>
          <w:szCs w:val="21"/>
        </w:rPr>
        <w:t>10</w:t>
      </w:r>
      <w:r>
        <w:rPr>
          <w:rFonts w:hint="eastAsia"/>
          <w:szCs w:val="21"/>
        </w:rPr>
        <w:t xml:space="preserve"> </w:t>
      </w:r>
      <w:bookmarkStart w:id="247" w:name="OLE_LINK211"/>
      <w:bookmarkStart w:id="248" w:name="OLE_LINK234"/>
      <w:r>
        <w:rPr>
          <w:szCs w:val="21"/>
        </w:rPr>
        <w:t xml:space="preserve"> 应</w:t>
      </w:r>
      <w:r>
        <w:rPr>
          <w:rFonts w:hint="eastAsia"/>
          <w:bCs/>
          <w:szCs w:val="21"/>
        </w:rPr>
        <w:t>结合钢筋混凝土高耐久化、混凝土高性能化和混凝土制品低能耗养护等关键技术突破，实现桥梁混凝土结构的低碳化；</w:t>
      </w:r>
      <w:bookmarkEnd w:id="247"/>
      <w:bookmarkEnd w:id="248"/>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应</w:t>
      </w:r>
      <w:r>
        <w:rPr>
          <w:szCs w:val="21"/>
        </w:rPr>
        <w:t>根据结构形式、抗震设防烈度、运输、拼装等因素选择连接形式，合理划分预制构件</w:t>
      </w:r>
      <w:r>
        <w:rPr>
          <w:rFonts w:hint="eastAsia"/>
          <w:szCs w:val="21"/>
        </w:rPr>
        <w:t>；</w:t>
      </w:r>
    </w:p>
    <w:p>
      <w:pPr>
        <w:spacing w:line="240" w:lineRule="auto"/>
        <w:ind w:firstLine="421" w:firstLineChars="200"/>
        <w:rPr>
          <w:szCs w:val="21"/>
        </w:rPr>
      </w:pPr>
      <w:r>
        <w:rPr>
          <w:rFonts w:hint="eastAsia"/>
          <w:b/>
          <w:bCs/>
          <w:szCs w:val="21"/>
        </w:rPr>
        <w:t>12</w:t>
      </w:r>
      <w:r>
        <w:rPr>
          <w:rFonts w:hint="eastAsia"/>
          <w:szCs w:val="21"/>
        </w:rPr>
        <w:t xml:space="preserve"> </w:t>
      </w:r>
      <w:r>
        <w:rPr>
          <w:szCs w:val="21"/>
        </w:rPr>
        <w:t xml:space="preserve"> 桥梁可根据路幅设置采用整幅或分幅断面形式，桥墩</w:t>
      </w:r>
      <w:r>
        <w:rPr>
          <w:rFonts w:hint="eastAsia"/>
          <w:szCs w:val="21"/>
        </w:rPr>
        <w:t>宜</w:t>
      </w:r>
      <w:r>
        <w:rPr>
          <w:szCs w:val="21"/>
        </w:rPr>
        <w:t>进行分幅双柱墩、分幅薄壁墩和整幅双柱墩的</w:t>
      </w:r>
      <w:r>
        <w:rPr>
          <w:rFonts w:hint="eastAsia"/>
          <w:szCs w:val="21"/>
        </w:rPr>
        <w:t>方案</w:t>
      </w:r>
      <w:r>
        <w:rPr>
          <w:szCs w:val="21"/>
        </w:rPr>
        <w:t>比选</w:t>
      </w:r>
      <w:r>
        <w:rPr>
          <w:rFonts w:hint="eastAsia"/>
          <w:szCs w:val="21"/>
        </w:rPr>
        <w:t>；</w:t>
      </w:r>
    </w:p>
    <w:p>
      <w:pPr>
        <w:spacing w:line="240" w:lineRule="auto"/>
        <w:ind w:firstLine="421" w:firstLineChars="200"/>
        <w:rPr>
          <w:bCs/>
          <w:szCs w:val="21"/>
        </w:rPr>
      </w:pPr>
      <w:r>
        <w:rPr>
          <w:rFonts w:hint="eastAsia"/>
          <w:b/>
          <w:bCs/>
          <w:szCs w:val="21"/>
        </w:rPr>
        <w:t>13</w:t>
      </w:r>
      <w:r>
        <w:rPr>
          <w:rFonts w:hint="eastAsia"/>
          <w:szCs w:val="21"/>
        </w:rPr>
        <w:t xml:space="preserve"> </w:t>
      </w:r>
      <w:r>
        <w:rPr>
          <w:szCs w:val="21"/>
        </w:rPr>
        <w:t xml:space="preserve"> 应选择防水材料，特殊部位做好防水涂料节点设计和施工，强化桥梁细部结构防水设计，完善桥梁排水系统设计，做到不渗不漏，防治积水对结构内部的腐蚀</w:t>
      </w:r>
      <w:r>
        <w:rPr>
          <w:rFonts w:hint="eastAsia"/>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隧道工程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应结合地理及自然环境，从选址、土建结构、洞门形式、洞口减光、通风、照明和消防等方面进行低碳节能设计；</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平面线形的确定，应综合考虑地形、地质状况、洞口接线、通风、车辆运行安全和施工条件等因素，可采用直线或较大半径的曲线；</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路段应采用复合式路面结构设计，表面采用温拌、阻燃、降噪沥青混合料，提高隧道路面安全性能；</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bookmarkStart w:id="249" w:name="OLE_LINK235"/>
      <w:bookmarkStart w:id="250" w:name="OLE_LINK236"/>
      <w:r>
        <w:rPr>
          <w:rFonts w:hint="eastAsia"/>
          <w:szCs w:val="21"/>
        </w:rPr>
        <w:t>洞门形式可采用削竹式等有效利用自然光的形式</w:t>
      </w:r>
      <w:bookmarkEnd w:id="249"/>
      <w:bookmarkEnd w:id="250"/>
      <w:r>
        <w:rPr>
          <w:rFonts w:hint="eastAsia"/>
          <w:szCs w:val="21"/>
        </w:rPr>
        <w:t>。洞口减光设计可就地取材采用绿化带减光、遮阳棚、遮光棚及通透式棚洞等方式；</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衬砌设计应综合考虑地质条件、断面形状、支护结构、施工条件等，并充分利用围岩的自承能力，采用能够有效抵抗环境作用的结构形式、布置和构造，满足混凝土结构材料的耐久性质量、钢筋的混凝土保护层厚度、混凝土裂缝控制等要求；</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排水边沟及盖板、电缆沟及盖板、中心水沟盖板、检查井盖板应采用预制化结构。盖板可尝试采用高性能混凝土或高分子聚合物材料，解决管沟设施维护强度大、易破损、不美观的问题；</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照明方案应推广应用LED照明灯具和精细化照明调光控制技术，包括时序调光控制、自动分级调光控制、无级调光控制、单灯无级调光控制；</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将通风能耗作为隧道位置布设、线形、断面及纵坡设计的重要因素，在保证交通安全的前提下，选择有利于隧道通风的设计方案。应考虑自然通风的可能性，不具备自然通风条件时，优先选用纵向机械通风方案，应用分布式智慧型单项供配电技术；</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隧道两侧墙应根据所属道路工程技术等级、围岩条件、交通构成及工程造价等因素，选择反射率高的墙面材料。隧道洞内外应采用反光标志、自发光标志或材料；</w:t>
      </w:r>
    </w:p>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r>
        <w:rPr>
          <w:rFonts w:hint="eastAsia"/>
          <w:bCs/>
          <w:szCs w:val="21"/>
        </w:rPr>
        <w:t>隧道监控、通信、消防、给水等设施应选择经济、高效的节能型产品；</w:t>
      </w:r>
    </w:p>
    <w:p>
      <w:pPr>
        <w:spacing w:line="240" w:lineRule="auto"/>
        <w:ind w:firstLine="421" w:firstLineChars="200"/>
        <w:rPr>
          <w:szCs w:val="21"/>
        </w:rPr>
      </w:pPr>
      <w:bookmarkStart w:id="251" w:name="OLE_LINK84"/>
      <w:r>
        <w:rPr>
          <w:rFonts w:hint="eastAsia"/>
          <w:b/>
          <w:bCs/>
          <w:szCs w:val="21"/>
        </w:rPr>
        <w:t>11</w:t>
      </w:r>
      <w:r>
        <w:rPr>
          <w:rFonts w:hint="eastAsia"/>
          <w:szCs w:val="21"/>
        </w:rPr>
        <w:t xml:space="preserve"> </w:t>
      </w:r>
      <w:r>
        <w:rPr>
          <w:szCs w:val="21"/>
        </w:rPr>
        <w:t xml:space="preserve"> </w:t>
      </w:r>
      <w:bookmarkEnd w:id="251"/>
      <w:r>
        <w:rPr>
          <w:rFonts w:hint="eastAsia"/>
          <w:szCs w:val="21"/>
        </w:rPr>
        <w:t>隧道各类废水及敞开部分的雨水应分类集中，采用高水高排、低水低排、互不连通的系统就近排放，并采用分级排放废水措施；</w:t>
      </w:r>
    </w:p>
    <w:p>
      <w:pPr>
        <w:spacing w:line="240" w:lineRule="auto"/>
        <w:ind w:firstLine="421" w:firstLineChars="200"/>
        <w:rPr>
          <w:szCs w:val="21"/>
        </w:rPr>
      </w:pPr>
      <w:r>
        <w:rPr>
          <w:rFonts w:hint="eastAsia"/>
          <w:b/>
          <w:bCs/>
          <w:szCs w:val="21"/>
        </w:rPr>
        <w:t>12</w:t>
      </w:r>
      <w:r>
        <w:rPr>
          <w:rFonts w:hint="eastAsia"/>
          <w:szCs w:val="21"/>
        </w:rPr>
        <w:t xml:space="preserve"> </w:t>
      </w:r>
      <w:r>
        <w:rPr>
          <w:szCs w:val="21"/>
        </w:rPr>
        <w:t xml:space="preserve"> 可合理利用空间，将部分管线引入隧道，减少管线修复开挖，提高土地空间的适用效率。</w:t>
      </w:r>
    </w:p>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交叉工程</w:t>
      </w:r>
    </w:p>
    <w:p>
      <w:pPr>
        <w:spacing w:line="240" w:lineRule="auto"/>
        <w:ind w:firstLine="421" w:firstLineChars="200"/>
        <w:rPr>
          <w:bCs/>
          <w:szCs w:val="21"/>
        </w:rPr>
      </w:pPr>
      <w:bookmarkStart w:id="252" w:name="OLE_LINK91"/>
      <w:bookmarkStart w:id="253" w:name="OLE_LINK92"/>
      <w:r>
        <w:rPr>
          <w:b/>
          <w:bCs/>
          <w:szCs w:val="21"/>
        </w:rPr>
        <w:t>1</w:t>
      </w:r>
      <w:r>
        <w:rPr>
          <w:rFonts w:hint="eastAsia"/>
          <w:szCs w:val="21"/>
        </w:rPr>
        <w:t xml:space="preserve"> </w:t>
      </w:r>
      <w:r>
        <w:rPr>
          <w:szCs w:val="21"/>
        </w:rPr>
        <w:t xml:space="preserve"> </w:t>
      </w:r>
      <w:r>
        <w:rPr>
          <w:rFonts w:hint="eastAsia"/>
          <w:bCs/>
          <w:szCs w:val="21"/>
        </w:rPr>
        <w:t>对于互通立交内部区域的路基边坡（包括主线和匝道），可结合原有的自然地形对路基边坡进行坡面修饰，采用较为缓和的边坡，便于行车绿化景观，提升互通整体美感；</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天桥的形式应美观、多样化，各部分构造简洁、流畅、明快；</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风景区、路堑及城镇路段，天桥可采用拱桥、钢管混凝土拱桥、系杆拱桥、桁架拱桥、板肋拱桥等；路堑段，天桥可考虑斜腿钢桥型；一般路段，天桥可采用简支梁桥、连续梁桥、T型钢构；</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应选择最优的互通交叉设计方案，规划道路布局、进出口位置、坡度等参数；</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互通交叉布线应与现场地形、地物相协调，少占城市用地、少拆迁房屋及电力、电讯设施；</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分离式交叉方案应统筹考虑占地和土石方平衡和调运等因素，合理设置上跨或下穿方案；</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转向交通量大的平面交叉，应进行渠化设计，设置专用转向车道；</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应根据平面交叉口的路幅宽度、曲率半径、坡度和信号灯等要素，针对不同类型的交叉口，设计不同类型的方案，并设置渠化岛、行人过街等设施</w:t>
      </w:r>
      <w:r>
        <w:rPr>
          <w:szCs w:val="21"/>
        </w:rPr>
        <w:t>。</w:t>
      </w:r>
    </w:p>
    <w:bookmarkEnd w:id="252"/>
    <w:bookmarkEnd w:id="253"/>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交通工程及沿线设施</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应规模化应用太阳能交通标志、路侧振动带和智能交通诱导系统等交通设施，提升交通安全保障水平；</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交通标志宜开展能耗低、亮度高、视认性好的全天候级的超薄主动发光标志技术应用；</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交通标志、防撞护栏、人行道护栏、分隔护栏、龙门架等设施材料可采用环保、可回收材料；</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交通标线可开展采用低VOC排放量的MMA双组份标线材料、树脂类预成型标线带、自降解临时标线等技术应用，宜采用高压喷涂、预成型技术、冷拌等施工工艺降低环境影响；</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在交通附属设施施工中可推广装配式建筑；</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应</w:t>
      </w:r>
      <w:r>
        <w:rPr>
          <w:rFonts w:hint="eastAsia"/>
          <w:bCs/>
          <w:szCs w:val="21"/>
        </w:rPr>
        <w:t>推广抗冲撞、反光性能强、夜间视认性好、耐久耐损坏、养护成本低的新型凸起路标；</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车道分界线、车道边缘线、互通分合流端的斑马线边缘等处可设置太阳能自发光型凸起路标；</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可推广耐久、易用、经济的视线诱导产品研发和应用；</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r>
        <w:rPr>
          <w:rFonts w:hint="eastAsia"/>
          <w:bCs/>
          <w:szCs w:val="21"/>
        </w:rPr>
        <w:t>可采用新能源主动发光标识、</w:t>
      </w:r>
      <w:r>
        <w:rPr>
          <w:rFonts w:hint="eastAsia"/>
          <w:szCs w:val="21"/>
        </w:rPr>
        <w:t>太阳能视线诱导设施</w:t>
      </w:r>
      <w:r>
        <w:rPr>
          <w:rFonts w:hint="eastAsia"/>
          <w:bCs/>
          <w:szCs w:val="21"/>
        </w:rPr>
        <w:t>；</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w:t>
      </w:r>
      <w:r>
        <w:rPr>
          <w:rFonts w:hint="eastAsia"/>
          <w:szCs w:val="21"/>
        </w:rPr>
        <w:t>对于改扩建道路，对标志版面、内容、结构满足使用需求且无需大的调整的交通标志，可挪至路侧进行直接利用，在必要时更换反光膜；</w:t>
      </w:r>
    </w:p>
    <w:p>
      <w:pPr>
        <w:spacing w:line="240" w:lineRule="auto"/>
        <w:ind w:firstLine="421" w:firstLineChars="200"/>
        <w:rPr>
          <w:bCs/>
          <w:szCs w:val="21"/>
        </w:rPr>
      </w:pPr>
      <w:r>
        <w:rPr>
          <w:rFonts w:hint="eastAsia"/>
          <w:b/>
          <w:bCs/>
          <w:szCs w:val="21"/>
        </w:rPr>
        <w:t>1</w:t>
      </w:r>
      <w:r>
        <w:rPr>
          <w:b/>
          <w:bCs/>
          <w:szCs w:val="21"/>
        </w:rPr>
        <w:t>1</w:t>
      </w:r>
      <w:r>
        <w:rPr>
          <w:rFonts w:hint="eastAsia"/>
          <w:szCs w:val="21"/>
        </w:rPr>
        <w:t xml:space="preserve"> </w:t>
      </w:r>
      <w:r>
        <w:rPr>
          <w:szCs w:val="21"/>
        </w:rPr>
        <w:t xml:space="preserve"> </w:t>
      </w:r>
      <w:r>
        <w:rPr>
          <w:rFonts w:hint="eastAsia"/>
          <w:bCs/>
          <w:szCs w:val="21"/>
        </w:rPr>
        <w:t>旧护栏可通过内套管或外套管加长柱等方式进行再利用；</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对于改扩建道路，可对无法直接利用的交通标志的面板、横梁、抱箍、立柱等主要构件进行利用，作为临时实施或永久交通标志；</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对于拆除既有组合式桥梁护栏上部钢结构，可在既有组合式桥梁护栏混凝土基座上植螺栓或安装加强钢结构进行再利用</w:t>
      </w:r>
      <w:r>
        <w:rPr>
          <w:rFonts w:hint="eastAsia"/>
          <w:szCs w:val="21"/>
        </w:rPr>
        <w:t>；</w:t>
      </w:r>
    </w:p>
    <w:p>
      <w:pPr>
        <w:spacing w:line="240" w:lineRule="auto"/>
        <w:ind w:firstLine="421" w:firstLineChars="200"/>
        <w:rPr>
          <w:szCs w:val="21"/>
        </w:rPr>
      </w:pPr>
      <w:r>
        <w:rPr>
          <w:rFonts w:hint="eastAsia"/>
          <w:b/>
          <w:bCs/>
          <w:szCs w:val="21"/>
        </w:rPr>
        <w:t>14</w:t>
      </w:r>
      <w:r>
        <w:rPr>
          <w:rFonts w:hint="eastAsia"/>
          <w:szCs w:val="21"/>
        </w:rPr>
        <w:t xml:space="preserve"> </w:t>
      </w:r>
      <w:r>
        <w:rPr>
          <w:szCs w:val="21"/>
        </w:rPr>
        <w:t xml:space="preserve"> 对既有组合式桥梁护栏混凝土基座，可更新护栏迎撞面坡面形式，并加强护栏高度、宽度，根据线形规范规定设计护栏坡面形式，实现混凝土护栏包封加高再利用</w:t>
      </w:r>
      <w:r>
        <w:rPr>
          <w:rFonts w:hint="eastAsia"/>
          <w:szCs w:val="21"/>
        </w:rPr>
        <w:t>；</w:t>
      </w:r>
    </w:p>
    <w:p>
      <w:pPr>
        <w:spacing w:line="240" w:lineRule="auto"/>
        <w:ind w:firstLine="421" w:firstLineChars="200"/>
        <w:rPr>
          <w:bCs/>
          <w:szCs w:val="21"/>
        </w:rPr>
      </w:pPr>
      <w:r>
        <w:rPr>
          <w:rFonts w:hint="eastAsia"/>
          <w:b/>
          <w:bCs/>
          <w:szCs w:val="21"/>
        </w:rPr>
        <w:t>15</w:t>
      </w:r>
      <w:r>
        <w:rPr>
          <w:rFonts w:hint="eastAsia"/>
          <w:szCs w:val="21"/>
        </w:rPr>
        <w:t xml:space="preserve"> </w:t>
      </w:r>
      <w:r>
        <w:rPr>
          <w:szCs w:val="21"/>
        </w:rPr>
        <w:t xml:space="preserve"> 在满足行业标准、功能要求、安全性的前提下，新建道路灯杆与交通设施杆件应整合设置，现状道路既有灯杆与小型交通设施杆应整合设置，减少立杆的数量</w:t>
      </w:r>
      <w:r>
        <w:rPr>
          <w:rFonts w:hint="eastAsia"/>
          <w:szCs w:val="21"/>
        </w:rPr>
        <w:t>。</w:t>
      </w:r>
      <w:r>
        <w:rPr>
          <w:szCs w:val="21"/>
        </w:rPr>
        <w:t xml:space="preserve"> </w:t>
      </w:r>
    </w:p>
    <w:p>
      <w:pPr>
        <w:spacing w:line="240" w:lineRule="auto"/>
        <w:rPr>
          <w:szCs w:val="21"/>
        </w:rPr>
      </w:pPr>
      <w:r>
        <w:rPr>
          <w:rFonts w:hint="eastAsia"/>
          <w:b/>
          <w:bCs/>
          <w:szCs w:val="21"/>
        </w:rPr>
        <w:t>7</w:t>
      </w:r>
      <w:r>
        <w:rPr>
          <w:rFonts w:ascii="宋体" w:hAnsi="宋体"/>
          <w:b/>
          <w:bCs/>
          <w:szCs w:val="21"/>
        </w:rPr>
        <w:t>.</w:t>
      </w:r>
      <w:r>
        <w:rPr>
          <w:rFonts w:hint="eastAsia"/>
          <w:b/>
          <w:bCs/>
          <w:szCs w:val="21"/>
        </w:rPr>
        <w:t xml:space="preserve"> 2</w:t>
      </w:r>
      <w:r>
        <w:rPr>
          <w:rFonts w:ascii="宋体" w:hAnsi="宋体"/>
          <w:b/>
          <w:bCs/>
          <w:szCs w:val="21"/>
        </w:rPr>
        <w:t>.</w:t>
      </w:r>
      <w:r>
        <w:rPr>
          <w:rFonts w:hint="eastAsia"/>
          <w:b/>
          <w:bCs/>
          <w:szCs w:val="21"/>
        </w:rPr>
        <w:t>9</w:t>
      </w:r>
      <w:r>
        <w:rPr>
          <w:rFonts w:hint="eastAsia"/>
          <w:szCs w:val="21"/>
        </w:rPr>
        <w:t xml:space="preserve"> </w:t>
      </w:r>
      <w:r>
        <w:rPr>
          <w:szCs w:val="21"/>
        </w:rPr>
        <w:t xml:space="preserve"> </w:t>
      </w:r>
      <w:r>
        <w:rPr>
          <w:rFonts w:hint="eastAsia"/>
          <w:szCs w:val="21"/>
        </w:rPr>
        <w:t>绿化及环境保护工程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应统一考虑植物的选择、配置方式、地形整理、设计手法，形成完整、统一的路侧景观，并实现与周边景观的自然过渡、渐次融入；</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应根据植物的生长习性、观赏效果及周边环境的统一，选择合适的植物品种；</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可</w:t>
      </w:r>
      <w:r>
        <w:rPr>
          <w:rFonts w:hint="eastAsia"/>
          <w:bCs/>
          <w:szCs w:val="21"/>
        </w:rPr>
        <w:t>在道路两侧或中央分隔带种植适合城市环境的，适应性强、耐贫瘠、耐高温、抗旱能力强、多年生的植物种类；</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w:t>
      </w:r>
      <w:r>
        <w:rPr>
          <w:rFonts w:hint="eastAsia"/>
          <w:szCs w:val="21"/>
        </w:rPr>
        <w:t>利用行人过街天桥、桥梁、高架桥等塑造垂直绿化景观。可利用花境种植等形式打造富有色彩和创意的渠化岛景观。立交桥桥下空间可选择耐阴、耐污染、低维护的植物，并在桥体防护栏放置花盆，形成线性指引。在隧道洞口外两端光线明暗变化段，可栽植高大乔木进行过渡。边坡及隧道洞口等可绿化覆盖，避免光秃裸露现象；</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在中央分隔带、主线与辅道或平行的道路之间，应栽植常绿矮树，隔断对向车流的眩光。从功能的角度考虑，应选择缓生、抗逆性强、耐修剪、枝叶茂密的常绿植物作防眩树种；</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对于临近施工红线的线外树木，应登记入册，建立档案，在树旁立牌标明树种、胸径等，进行围挡防护设计，施工过程中重点保护，避免施工过程损伤及破坏；</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对线位扰动的树木进行迁地保护时，应制订树木移栽专项方案，合理选择移栽季节和保护措施，确保成活率；</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根据土壤类型、气候特点和地形特征等因素，结合工程特征和施工工艺，应因地制宜地制订表土收集方案与计划；</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道路景观宜优先选用当地乡土建材、低碳环保材料、废物再生利用材料等，</w:t>
      </w:r>
      <w:r>
        <w:rPr>
          <w:rFonts w:hint="eastAsia"/>
          <w:szCs w:val="21"/>
        </w:rPr>
        <w:t>包括</w:t>
      </w:r>
      <w:r>
        <w:rPr>
          <w:szCs w:val="21"/>
        </w:rPr>
        <w:t>陶瓷透水砖、钢渣透水砖、再生石、枕木等；</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应</w:t>
      </w:r>
      <w:r>
        <w:rPr>
          <w:rFonts w:hint="eastAsia"/>
          <w:szCs w:val="21"/>
        </w:rPr>
        <w:t>对工程生态影响区域制定专门的生态修复方案，可通过采取加强施工防护措施，减少工程建设对目标植物的扰动，实现就地保护；</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桥梁建设中，应只砍伐桥墩占地内林木，对桥梁下方树木资源可采取断顶、截枝等方法最大限度地保留；</w:t>
      </w:r>
    </w:p>
    <w:p>
      <w:pPr>
        <w:spacing w:line="240" w:lineRule="auto"/>
        <w:ind w:firstLine="421" w:firstLineChars="200"/>
        <w:rPr>
          <w:szCs w:val="21"/>
        </w:rPr>
      </w:pPr>
      <w:r>
        <w:rPr>
          <w:rFonts w:hint="eastAsia"/>
          <w:b/>
          <w:bCs/>
          <w:szCs w:val="21"/>
        </w:rPr>
        <w:t>12</w:t>
      </w:r>
      <w:r>
        <w:rPr>
          <w:rFonts w:hint="eastAsia"/>
          <w:szCs w:val="21"/>
        </w:rPr>
        <w:t xml:space="preserve"> </w:t>
      </w:r>
      <w:r>
        <w:rPr>
          <w:szCs w:val="21"/>
        </w:rPr>
        <w:t xml:space="preserve"> </w:t>
      </w:r>
      <w:bookmarkStart w:id="254" w:name="OLE_LINK240"/>
      <w:bookmarkStart w:id="255" w:name="OLE_LINK237"/>
      <w:r>
        <w:rPr>
          <w:rFonts w:hint="eastAsia"/>
          <w:szCs w:val="21"/>
        </w:rPr>
        <w:t>应</w:t>
      </w:r>
      <w:bookmarkEnd w:id="254"/>
      <w:bookmarkEnd w:id="255"/>
      <w:r>
        <w:rPr>
          <w:szCs w:val="21"/>
        </w:rPr>
        <w:t>保留隧道洞口开挖轮廓线外的植被，减少隧道开挖对原生植被的影响；</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边坡施工中，对边坡上方重要植物可采取收缩坡脚、工程防护、增大边坡坡度等措施进行保护</w:t>
      </w:r>
      <w:r>
        <w:rPr>
          <w:rFonts w:hint="eastAsia"/>
          <w:szCs w:val="21"/>
        </w:rPr>
        <w:t>；</w:t>
      </w:r>
    </w:p>
    <w:p>
      <w:pPr>
        <w:spacing w:line="240" w:lineRule="auto"/>
        <w:ind w:firstLine="421" w:firstLineChars="200"/>
        <w:rPr>
          <w:bCs/>
          <w:szCs w:val="21"/>
        </w:rPr>
      </w:pPr>
      <w:r>
        <w:rPr>
          <w:rFonts w:hint="eastAsia"/>
          <w:b/>
          <w:bCs/>
          <w:szCs w:val="21"/>
        </w:rPr>
        <w:t>14</w:t>
      </w:r>
      <w:r>
        <w:rPr>
          <w:rFonts w:hint="eastAsia"/>
          <w:szCs w:val="21"/>
        </w:rPr>
        <w:t xml:space="preserve"> </w:t>
      </w:r>
      <w:r>
        <w:rPr>
          <w:szCs w:val="21"/>
        </w:rPr>
        <w:t xml:space="preserve"> </w:t>
      </w:r>
      <w:r>
        <w:rPr>
          <w:rFonts w:hint="eastAsia"/>
          <w:bCs/>
          <w:szCs w:val="21"/>
        </w:rPr>
        <w:t>在声屏障主要隔声功能外，可增加其他功能，提高其综合效能，推广太阳能光伏声屏障；</w:t>
      </w:r>
    </w:p>
    <w:p>
      <w:pPr>
        <w:spacing w:line="240" w:lineRule="auto"/>
        <w:ind w:firstLine="421" w:firstLineChars="200"/>
        <w:rPr>
          <w:szCs w:val="21"/>
        </w:rPr>
      </w:pPr>
      <w:r>
        <w:rPr>
          <w:rFonts w:hint="eastAsia"/>
          <w:b/>
          <w:bCs/>
          <w:szCs w:val="21"/>
        </w:rPr>
        <w:t>15</w:t>
      </w:r>
      <w:r>
        <w:rPr>
          <w:rFonts w:hint="eastAsia"/>
          <w:szCs w:val="21"/>
        </w:rPr>
        <w:t xml:space="preserve"> </w:t>
      </w:r>
      <w:r>
        <w:rPr>
          <w:szCs w:val="21"/>
        </w:rPr>
        <w:t xml:space="preserve"> </w:t>
      </w:r>
      <w:r>
        <w:rPr>
          <w:rFonts w:hint="eastAsia"/>
          <w:szCs w:val="21"/>
        </w:rPr>
        <w:t>应落实声屏障标准化设计，要求基础设计统一化、上部结构设计规范化、屏体产品设计标准化、施工工艺设计装配化，做到声屏障部件可拆、可换，施工和养护简便，实现建造与养护一体化；</w:t>
      </w:r>
    </w:p>
    <w:p>
      <w:pPr>
        <w:spacing w:line="240" w:lineRule="auto"/>
        <w:ind w:firstLine="421" w:firstLineChars="200"/>
        <w:rPr>
          <w:szCs w:val="21"/>
        </w:rPr>
      </w:pPr>
      <w:bookmarkStart w:id="256" w:name="OLE_LINK241"/>
      <w:r>
        <w:rPr>
          <w:rFonts w:hint="eastAsia"/>
          <w:b/>
          <w:bCs/>
          <w:szCs w:val="21"/>
        </w:rPr>
        <w:t>16</w:t>
      </w:r>
      <w:r>
        <w:rPr>
          <w:rFonts w:hint="eastAsia"/>
          <w:szCs w:val="21"/>
        </w:rPr>
        <w:t xml:space="preserve"> </w:t>
      </w:r>
      <w:r>
        <w:rPr>
          <w:szCs w:val="21"/>
        </w:rPr>
        <w:t xml:space="preserve"> 再生型声屏障设计的屏体可采用</w:t>
      </w:r>
      <w:bookmarkStart w:id="257" w:name="OLE_LINK94"/>
      <w:r>
        <w:rPr>
          <w:szCs w:val="21"/>
        </w:rPr>
        <w:t>废旧轮胎橡胶、煤灰渣</w:t>
      </w:r>
      <w:bookmarkEnd w:id="257"/>
      <w:r>
        <w:rPr>
          <w:szCs w:val="21"/>
        </w:rPr>
        <w:t>料、弃土弃石作为主要的屏体材料，提高施工废料利用率</w:t>
      </w:r>
      <w:r>
        <w:rPr>
          <w:rFonts w:hint="eastAsia"/>
          <w:szCs w:val="21"/>
        </w:rPr>
        <w:t>。</w:t>
      </w:r>
    </w:p>
    <w:bookmarkEnd w:id="256"/>
    <w:p>
      <w:pPr>
        <w:spacing w:line="240" w:lineRule="auto"/>
        <w:rPr>
          <w:szCs w:val="21"/>
        </w:rPr>
      </w:pPr>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10</w:t>
      </w:r>
      <w:r>
        <w:rPr>
          <w:rFonts w:hint="eastAsia"/>
          <w:szCs w:val="21"/>
        </w:rPr>
        <w:t xml:space="preserve"> </w:t>
      </w:r>
      <w:r>
        <w:rPr>
          <w:szCs w:val="21"/>
        </w:rPr>
        <w:t xml:space="preserve"> </w:t>
      </w:r>
      <w:r>
        <w:rPr>
          <w:rFonts w:hint="eastAsia"/>
          <w:szCs w:val="21"/>
        </w:rPr>
        <w:t>管线工程</w:t>
      </w:r>
    </w:p>
    <w:p>
      <w:pPr>
        <w:spacing w:line="240" w:lineRule="auto"/>
        <w:ind w:firstLine="421" w:firstLineChars="200"/>
        <w:rPr>
          <w:szCs w:val="21"/>
        </w:rPr>
      </w:pPr>
      <w:r>
        <w:rPr>
          <w:rFonts w:hint="eastAsia"/>
          <w:b/>
          <w:bCs/>
          <w:szCs w:val="21"/>
        </w:rPr>
        <w:t>1</w:t>
      </w:r>
      <w:r>
        <w:rPr>
          <w:rFonts w:hint="eastAsia"/>
          <w:szCs w:val="21"/>
        </w:rPr>
        <w:t xml:space="preserve">  市政给排水工程中，应通过节能降耗技术应用、优化管网布局、采用低碳材料与工艺、构建回用体系等，实现从规划、设计、施工、运维全周期的减少碳排放目标；</w:t>
      </w:r>
    </w:p>
    <w:p>
      <w:pPr>
        <w:spacing w:line="240" w:lineRule="auto"/>
        <w:ind w:firstLine="421" w:firstLineChars="200"/>
        <w:rPr>
          <w:szCs w:val="21"/>
        </w:rPr>
      </w:pPr>
      <w:r>
        <w:rPr>
          <w:rFonts w:hint="eastAsia"/>
          <w:b/>
          <w:bCs/>
          <w:szCs w:val="21"/>
        </w:rPr>
        <w:t>2</w:t>
      </w:r>
      <w:r>
        <w:rPr>
          <w:rFonts w:hint="eastAsia"/>
          <w:szCs w:val="21"/>
        </w:rPr>
        <w:t xml:space="preserve">  供水系统中，可通过设置智能变频泵等节能设计，根据实时用水量调节水泵工况，实现节能降耗；</w:t>
      </w:r>
    </w:p>
    <w:p>
      <w:pPr>
        <w:spacing w:line="240" w:lineRule="auto"/>
        <w:ind w:firstLine="421" w:firstLineChars="200"/>
        <w:rPr>
          <w:szCs w:val="21"/>
        </w:rPr>
      </w:pPr>
      <w:r>
        <w:rPr>
          <w:rFonts w:hint="eastAsia"/>
          <w:b/>
          <w:bCs/>
          <w:szCs w:val="21"/>
        </w:rPr>
        <w:t>3</w:t>
      </w:r>
      <w:r>
        <w:rPr>
          <w:rFonts w:hint="eastAsia"/>
          <w:szCs w:val="21"/>
        </w:rPr>
        <w:t xml:space="preserve">  排水系统中，可充分利用地势高差使排水管网自流、重力排放，减少对泵站的依赖，减少能耗。可通过透水铺装、下凹绿地、蓄水模块等低影响开发设施，降低排水管网负荷，缩小管网建设规模。可选择生产过程能耗少、碳排放量低、耐腐蚀、使用寿命长的的HDPE管、低碳混凝土管、玻璃钢管、球墨铸铁管等排水管材。可采用顶管、定向钻等非开挖施工工艺，减少施工土方量和扬尘；</w:t>
      </w:r>
    </w:p>
    <w:p>
      <w:pPr>
        <w:spacing w:line="240" w:lineRule="auto"/>
        <w:ind w:firstLine="421" w:firstLineChars="200"/>
        <w:rPr>
          <w:szCs w:val="21"/>
        </w:rPr>
      </w:pPr>
      <w:bookmarkStart w:id="258" w:name="OLE_LINK127"/>
      <w:r>
        <w:rPr>
          <w:rFonts w:hint="eastAsia"/>
          <w:b/>
          <w:bCs/>
          <w:szCs w:val="21"/>
        </w:rPr>
        <w:t>4</w:t>
      </w:r>
      <w:r>
        <w:rPr>
          <w:rFonts w:hint="eastAsia"/>
          <w:szCs w:val="21"/>
        </w:rPr>
        <w:t xml:space="preserve">  </w:t>
      </w:r>
      <w:bookmarkEnd w:id="258"/>
      <w:r>
        <w:rPr>
          <w:rFonts w:hint="eastAsia"/>
          <w:szCs w:val="21"/>
        </w:rPr>
        <w:t>有条件时，应规划给水、排水、燃气、热力、电力、通信等管线集成共建的综合管廊，积极推进绿色建材应用，加强对综合管廊能耗的监测和统计分析，逐步实施能耗限额管理。应积极推广预制装配技术，推行综合管廊构件模块化部品应用技术，提高综合管廊运行效率，有效减少能源消耗和碳排放。</w:t>
      </w:r>
    </w:p>
    <w:p>
      <w:pPr>
        <w:spacing w:line="240" w:lineRule="auto"/>
        <w:ind w:firstLine="421" w:firstLineChars="200"/>
        <w:rPr>
          <w:szCs w:val="21"/>
        </w:rPr>
      </w:pPr>
      <w:r>
        <w:rPr>
          <w:rFonts w:hint="eastAsia"/>
          <w:b/>
          <w:bCs/>
          <w:szCs w:val="21"/>
        </w:rPr>
        <w:t>5</w:t>
      </w:r>
      <w:r>
        <w:rPr>
          <w:rFonts w:hint="eastAsia"/>
          <w:szCs w:val="21"/>
        </w:rPr>
        <w:t xml:space="preserve">  应开展隧道防排水细节方案设计，如洞口截排水设计方案、洞内防排水设计等。</w:t>
      </w:r>
    </w:p>
    <w:p>
      <w:pPr>
        <w:spacing w:line="240" w:lineRule="auto"/>
        <w:rPr>
          <w:szCs w:val="21"/>
        </w:rPr>
      </w:pPr>
      <w:bookmarkStart w:id="259" w:name="OLE_LINK126"/>
      <w:r>
        <w:rPr>
          <w:rFonts w:hint="eastAsia"/>
          <w:b/>
          <w:bCs/>
          <w:szCs w:val="21"/>
        </w:rPr>
        <w:t>7</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11</w:t>
      </w:r>
      <w:r>
        <w:rPr>
          <w:rFonts w:hint="eastAsia"/>
          <w:szCs w:val="21"/>
        </w:rPr>
        <w:t xml:space="preserve"> </w:t>
      </w:r>
      <w:r>
        <w:rPr>
          <w:szCs w:val="21"/>
        </w:rPr>
        <w:t xml:space="preserve"> </w:t>
      </w:r>
      <w:r>
        <w:rPr>
          <w:rFonts w:hint="eastAsia"/>
          <w:szCs w:val="21"/>
        </w:rPr>
        <w:t>其他工程</w:t>
      </w:r>
    </w:p>
    <w:bookmarkEnd w:id="259"/>
    <w:p>
      <w:pPr>
        <w:spacing w:line="240" w:lineRule="auto"/>
        <w:ind w:firstLine="421" w:firstLineChars="200"/>
        <w:rPr>
          <w:bCs/>
          <w:szCs w:val="21"/>
        </w:rPr>
      </w:pPr>
      <w:bookmarkStart w:id="260" w:name="OLE_LINK128"/>
      <w:r>
        <w:rPr>
          <w:b/>
          <w:bCs/>
          <w:szCs w:val="21"/>
        </w:rPr>
        <w:t>1</w:t>
      </w:r>
      <w:r>
        <w:rPr>
          <w:rFonts w:hint="eastAsia"/>
          <w:szCs w:val="21"/>
        </w:rPr>
        <w:t xml:space="preserve"> </w:t>
      </w:r>
      <w:r>
        <w:rPr>
          <w:szCs w:val="21"/>
        </w:rPr>
        <w:t xml:space="preserve"> </w:t>
      </w:r>
      <w:bookmarkEnd w:id="260"/>
      <w:r>
        <w:rPr>
          <w:szCs w:val="21"/>
        </w:rPr>
        <w:t>应</w:t>
      </w:r>
      <w:r>
        <w:rPr>
          <w:rFonts w:hint="eastAsia"/>
          <w:bCs/>
          <w:szCs w:val="21"/>
        </w:rPr>
        <w:t>开展监控、通信、供配电、照明等机电系统的节能设计，推广应用节能、高效的机电系统和智能化节能控制系统，采用太阳能、风能等可再生绿色能源；</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大型可变信息标志与显示屏、场外监控设施、监控中心机房、供配电系统等重点用能设施宜采用分布式智慧节能供电系统；</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在自然和气候条件允许的区域，交通安全设施及机电设施可采用风电、光电、风光互补、水电等可再生能源。针对能源的不稳定性，可配套设置临时供电设施，不宜采用蓄电池方案；</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道路照明宜合理选择照明亮度指标、光源、灯具、布设方案等设计参数及照明控制策略；</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照明宜根据使用需求分区、分组控制，采用光控、时控等自动控制方式或集中控制方式；</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宜</w:t>
      </w:r>
      <w:r>
        <w:rPr>
          <w:rFonts w:hint="eastAsia"/>
          <w:bCs/>
          <w:szCs w:val="21"/>
        </w:rPr>
        <w:t>采用可再生能源供电的道路照明设备，包括道路沿线照明、隧道照明、桥梁照明、服务区照明等；</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应</w:t>
      </w:r>
      <w:r>
        <w:rPr>
          <w:rFonts w:hint="eastAsia"/>
          <w:szCs w:val="21"/>
        </w:rPr>
        <w:t>使用节能的LED照明灯具，选择光源和电源分离的形式；</w:t>
      </w:r>
    </w:p>
    <w:p>
      <w:pPr>
        <w:spacing w:line="240" w:lineRule="auto"/>
        <w:ind w:firstLine="421" w:firstLineChars="200"/>
        <w:rPr>
          <w:bCs/>
          <w:szCs w:val="21"/>
        </w:rPr>
      </w:pPr>
      <w:r>
        <w:rPr>
          <w:rFonts w:hint="eastAsia"/>
          <w:b/>
          <w:bCs/>
          <w:szCs w:val="21"/>
        </w:rPr>
        <w:t>8</w:t>
      </w:r>
      <w:r>
        <w:rPr>
          <w:rFonts w:hint="eastAsia"/>
          <w:szCs w:val="21"/>
        </w:rPr>
        <w:t xml:space="preserve"> </w:t>
      </w:r>
      <w:r>
        <w:rPr>
          <w:szCs w:val="21"/>
        </w:rPr>
        <w:t xml:space="preserve"> </w:t>
      </w:r>
      <w:r>
        <w:rPr>
          <w:rFonts w:hint="eastAsia"/>
          <w:bCs/>
          <w:szCs w:val="21"/>
        </w:rPr>
        <w:t>单灯的功率系数应不低于0.9，系统回路功率因素应不低于0.95。当功率因素不能满足上述要求时，应采取功率因数补偿措施；</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可</w:t>
      </w:r>
      <w:r>
        <w:rPr>
          <w:rFonts w:hint="eastAsia"/>
          <w:szCs w:val="21"/>
        </w:rPr>
        <w:t>通过创新隧道照明控制模式、车辆监测技术、环境传感技术的方式，做到全面动态、精细的实时自适应调节与控制，获取车流量、车速、车型、位移坐标等车辆实时信息及隧道内外光环境实时信息；</w:t>
      </w:r>
    </w:p>
    <w:p>
      <w:pPr>
        <w:spacing w:line="240" w:lineRule="auto"/>
        <w:ind w:firstLine="421" w:firstLineChars="200"/>
        <w:rPr>
          <w:bCs/>
          <w:szCs w:val="21"/>
        </w:rPr>
      </w:pPr>
      <w:r>
        <w:rPr>
          <w:rFonts w:hint="eastAsia"/>
          <w:b/>
          <w:bCs/>
          <w:szCs w:val="21"/>
        </w:rPr>
        <w:t>10</w:t>
      </w:r>
      <w:r>
        <w:rPr>
          <w:rFonts w:hint="eastAsia"/>
          <w:szCs w:val="21"/>
        </w:rPr>
        <w:t xml:space="preserve"> </w:t>
      </w:r>
      <w:r>
        <w:rPr>
          <w:szCs w:val="21"/>
        </w:rPr>
        <w:t xml:space="preserve"> </w:t>
      </w:r>
      <w:r>
        <w:rPr>
          <w:rFonts w:hint="eastAsia"/>
          <w:bCs/>
          <w:szCs w:val="21"/>
        </w:rPr>
        <w:t>空调、消防、照明、机电设备等负荷可分回路供电和监测；</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动力负荷较大且用电时间集中的场区可将动力与其他负荷分设变压器；</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空调、电热器等高能耗设备应采用变频调速等节能技术；</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w:t>
      </w:r>
      <w:r>
        <w:rPr>
          <w:rFonts w:hint="eastAsia"/>
          <w:szCs w:val="21"/>
        </w:rPr>
        <w:t>电力监测与计量装置的准确度等级应不低于1.0级，且具有符合行业标准的物理接口，采用标准开放协议；</w:t>
      </w:r>
    </w:p>
    <w:p>
      <w:pPr>
        <w:spacing w:line="240" w:lineRule="auto"/>
        <w:ind w:firstLine="421" w:firstLineChars="200"/>
        <w:rPr>
          <w:bCs/>
          <w:szCs w:val="21"/>
        </w:rPr>
      </w:pPr>
      <w:r>
        <w:rPr>
          <w:rFonts w:hint="eastAsia"/>
          <w:b/>
          <w:bCs/>
          <w:szCs w:val="21"/>
        </w:rPr>
        <w:t>14</w:t>
      </w:r>
      <w:r>
        <w:rPr>
          <w:rFonts w:hint="eastAsia"/>
          <w:szCs w:val="21"/>
        </w:rPr>
        <w:t xml:space="preserve"> </w:t>
      </w:r>
      <w:r>
        <w:rPr>
          <w:szCs w:val="21"/>
        </w:rPr>
        <w:t xml:space="preserve"> </w:t>
      </w:r>
      <w:r>
        <w:rPr>
          <w:rFonts w:hint="eastAsia"/>
          <w:bCs/>
          <w:szCs w:val="21"/>
        </w:rPr>
        <w:t>供配电系统应从合理选择电压、提高功率因数、降低线损、降低供电设备损耗、降低管理能耗比例、提高供电质量等方面进行节能设计；</w:t>
      </w:r>
    </w:p>
    <w:p>
      <w:pPr>
        <w:spacing w:line="240" w:lineRule="auto"/>
        <w:ind w:firstLine="421" w:firstLineChars="200"/>
        <w:rPr>
          <w:szCs w:val="21"/>
        </w:rPr>
      </w:pPr>
      <w:r>
        <w:rPr>
          <w:rFonts w:hint="eastAsia"/>
          <w:b/>
          <w:bCs/>
          <w:szCs w:val="21"/>
        </w:rPr>
        <w:t>15</w:t>
      </w:r>
      <w:r>
        <w:rPr>
          <w:rFonts w:hint="eastAsia"/>
          <w:szCs w:val="21"/>
        </w:rPr>
        <w:t xml:space="preserve"> </w:t>
      </w:r>
      <w:r>
        <w:rPr>
          <w:szCs w:val="21"/>
        </w:rPr>
        <w:t xml:space="preserve"> </w:t>
      </w:r>
      <w:r>
        <w:rPr>
          <w:rFonts w:hint="eastAsia"/>
          <w:szCs w:val="21"/>
        </w:rPr>
        <w:t>供配电系统应根据沿线各用能设施的功能及用能特点配置经济、低能耗的供电设备；</w:t>
      </w:r>
    </w:p>
    <w:p>
      <w:pPr>
        <w:spacing w:line="240" w:lineRule="auto"/>
        <w:ind w:firstLine="421" w:firstLineChars="200"/>
        <w:rPr>
          <w:bCs/>
          <w:szCs w:val="21"/>
        </w:rPr>
      </w:pPr>
      <w:r>
        <w:rPr>
          <w:rFonts w:hint="eastAsia"/>
          <w:b/>
          <w:bCs/>
          <w:szCs w:val="21"/>
        </w:rPr>
        <w:t>16</w:t>
      </w:r>
      <w:r>
        <w:rPr>
          <w:rFonts w:hint="eastAsia"/>
          <w:szCs w:val="21"/>
        </w:rPr>
        <w:t xml:space="preserve"> </w:t>
      </w:r>
      <w:r>
        <w:rPr>
          <w:szCs w:val="21"/>
        </w:rPr>
        <w:t xml:space="preserve"> </w:t>
      </w:r>
      <w:r>
        <w:rPr>
          <w:rFonts w:hint="eastAsia"/>
          <w:bCs/>
          <w:szCs w:val="21"/>
        </w:rPr>
        <w:t>变配电点应靠近负荷中心，减少配电级数，降低电能损失。沿线变配电站出线电压应根据所选用电压计算电缆截面，减少电能线路损失；</w:t>
      </w:r>
    </w:p>
    <w:p>
      <w:pPr>
        <w:spacing w:line="240" w:lineRule="auto"/>
        <w:ind w:firstLine="421" w:firstLineChars="200"/>
        <w:rPr>
          <w:szCs w:val="21"/>
        </w:rPr>
      </w:pPr>
      <w:r>
        <w:rPr>
          <w:rFonts w:hint="eastAsia"/>
          <w:b/>
          <w:bCs/>
          <w:szCs w:val="21"/>
        </w:rPr>
        <w:t>17</w:t>
      </w:r>
      <w:r>
        <w:rPr>
          <w:rFonts w:hint="eastAsia"/>
          <w:szCs w:val="21"/>
        </w:rPr>
        <w:t xml:space="preserve"> </w:t>
      </w:r>
      <w:r>
        <w:rPr>
          <w:szCs w:val="21"/>
        </w:rPr>
        <w:t xml:space="preserve"> 应</w:t>
      </w:r>
      <w:r>
        <w:rPr>
          <w:rFonts w:hint="eastAsia"/>
          <w:szCs w:val="21"/>
        </w:rPr>
        <w:t>实施施工期电网集合供电，做到永久供电与施工期临时供电相结合。</w:t>
      </w:r>
    </w:p>
    <w:p>
      <w:pPr>
        <w:pStyle w:val="4"/>
        <w:spacing w:before="240" w:after="240" w:line="240" w:lineRule="auto"/>
        <w:jc w:val="center"/>
        <w:rPr>
          <w:rFonts w:ascii="黑体" w:hAnsi="黑体" w:eastAsia="黑体"/>
          <w:b w:val="0"/>
          <w:sz w:val="21"/>
          <w:szCs w:val="21"/>
        </w:rPr>
      </w:pPr>
      <w:bookmarkStart w:id="261" w:name="_Toc160030733"/>
      <w:bookmarkStart w:id="262" w:name="_Toc160032820"/>
      <w:bookmarkStart w:id="263" w:name="_Toc161134677"/>
      <w:bookmarkStart w:id="264" w:name="_Toc160030995"/>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设计阶段参数优化</w:t>
      </w:r>
      <w:bookmarkEnd w:id="261"/>
      <w:bookmarkEnd w:id="262"/>
      <w:bookmarkEnd w:id="263"/>
      <w:bookmarkEnd w:id="264"/>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平面、纵断面、横断面</w:t>
      </w:r>
    </w:p>
    <w:p>
      <w:pPr>
        <w:spacing w:line="240" w:lineRule="auto"/>
        <w:ind w:firstLine="421" w:firstLineChars="200"/>
        <w:rPr>
          <w:szCs w:val="21"/>
        </w:rPr>
      </w:pPr>
      <w:r>
        <w:rPr>
          <w:rFonts w:hint="eastAsia"/>
          <w:b/>
          <w:bCs/>
          <w:szCs w:val="21"/>
        </w:rPr>
        <w:t>1</w:t>
      </w:r>
      <w:r>
        <w:rPr>
          <w:rFonts w:hint="eastAsia"/>
          <w:szCs w:val="21"/>
        </w:rPr>
        <w:t xml:space="preserve"> </w:t>
      </w:r>
      <w:r>
        <w:rPr>
          <w:szCs w:val="21"/>
        </w:rPr>
        <w:t xml:space="preserve"> </w:t>
      </w:r>
      <w:r>
        <w:rPr>
          <w:rFonts w:hint="eastAsia"/>
          <w:szCs w:val="21"/>
        </w:rPr>
        <w:t>平面</w:t>
      </w:r>
    </w:p>
    <w:p>
      <w:pPr>
        <w:spacing w:line="240" w:lineRule="auto"/>
        <w:ind w:firstLine="632" w:firstLineChars="300"/>
        <w:rPr>
          <w:rFonts w:cs="宋体"/>
          <w:szCs w:val="21"/>
        </w:rPr>
      </w:pPr>
      <w:r>
        <w:rPr>
          <w:rFonts w:hint="eastAsia" w:cs="宋体"/>
          <w:b/>
          <w:szCs w:val="21"/>
        </w:rPr>
        <w:t>1</w:t>
      </w:r>
      <w:r>
        <w:rPr>
          <w:rFonts w:hint="eastAsia" w:cs="宋体"/>
          <w:szCs w:val="21"/>
        </w:rPr>
        <w:t>）应符合《城市道路路线设计规范》CJJ 193的规定，根据交通量、行车速度和道路功</w:t>
      </w:r>
    </w:p>
    <w:p>
      <w:pPr>
        <w:spacing w:line="240" w:lineRule="auto"/>
        <w:ind w:firstLine="945" w:firstLineChars="450"/>
        <w:rPr>
          <w:rFonts w:cs="宋体"/>
          <w:szCs w:val="21"/>
        </w:rPr>
      </w:pPr>
      <w:r>
        <w:rPr>
          <w:rFonts w:hint="eastAsia" w:cs="宋体"/>
          <w:szCs w:val="21"/>
        </w:rPr>
        <w:t>能因素，选择合适的直线段长度和圆曲线半径，不宜采用小偏角大半径平曲线；</w:t>
      </w:r>
    </w:p>
    <w:p>
      <w:pPr>
        <w:spacing w:line="240" w:lineRule="auto"/>
        <w:ind w:firstLine="632" w:firstLineChars="300"/>
        <w:rPr>
          <w:rFonts w:cs="宋体"/>
          <w:szCs w:val="21"/>
        </w:rPr>
      </w:pPr>
      <w:r>
        <w:rPr>
          <w:rFonts w:hint="eastAsia" w:cs="宋体"/>
          <w:b/>
          <w:szCs w:val="21"/>
        </w:rPr>
        <w:t>2</w:t>
      </w:r>
      <w:r>
        <w:rPr>
          <w:rFonts w:hint="eastAsia" w:cs="宋体"/>
          <w:szCs w:val="21"/>
        </w:rPr>
        <w:t>）应使用回旋线、带有Bloss螺线、三次缓和曲线等缓和曲线平滑过渡圆曲线；</w:t>
      </w:r>
    </w:p>
    <w:p>
      <w:pPr>
        <w:spacing w:line="240" w:lineRule="auto"/>
        <w:ind w:firstLine="632" w:firstLineChars="300"/>
        <w:rPr>
          <w:rFonts w:cs="宋体"/>
          <w:szCs w:val="21"/>
        </w:rPr>
      </w:pPr>
      <w:r>
        <w:rPr>
          <w:rFonts w:hint="eastAsia" w:cs="宋体"/>
          <w:b/>
          <w:szCs w:val="21"/>
        </w:rPr>
        <w:t>3</w:t>
      </w:r>
      <w:r>
        <w:rPr>
          <w:rFonts w:hint="eastAsia" w:cs="宋体"/>
          <w:szCs w:val="21"/>
        </w:rPr>
        <w:t>）对于地形条件较好的路段，应通过对平曲线半径进行精细取值，主动影响和控制驾驶</w:t>
      </w:r>
    </w:p>
    <w:p>
      <w:pPr>
        <w:spacing w:line="240" w:lineRule="auto"/>
        <w:ind w:firstLine="945" w:firstLineChars="450"/>
        <w:rPr>
          <w:rFonts w:cs="宋体"/>
          <w:szCs w:val="21"/>
        </w:rPr>
      </w:pPr>
      <w:r>
        <w:rPr>
          <w:rFonts w:hint="eastAsia" w:cs="宋体"/>
          <w:szCs w:val="21"/>
        </w:rPr>
        <w:t>员行车速度，使运行速度平稳连续；</w:t>
      </w:r>
    </w:p>
    <w:p>
      <w:pPr>
        <w:spacing w:line="240" w:lineRule="auto"/>
        <w:ind w:firstLine="632" w:firstLineChars="300"/>
        <w:rPr>
          <w:rFonts w:cs="宋体"/>
          <w:szCs w:val="21"/>
        </w:rPr>
      </w:pPr>
      <w:bookmarkStart w:id="265" w:name="OLE_LINK242"/>
      <w:bookmarkStart w:id="266" w:name="OLE_LINK243"/>
      <w:r>
        <w:rPr>
          <w:rFonts w:hint="eastAsia" w:cs="宋体"/>
          <w:b/>
          <w:szCs w:val="21"/>
        </w:rPr>
        <w:t>4</w:t>
      </w:r>
      <w:r>
        <w:rPr>
          <w:rFonts w:hint="eastAsia" w:cs="宋体"/>
          <w:szCs w:val="21"/>
        </w:rPr>
        <w:t>）可通过增加平曲线数量，提高曲线占比，选择合适的平曲线半径，</w:t>
      </w:r>
      <w:r>
        <w:rPr>
          <w:rFonts w:cs="宋体"/>
          <w:szCs w:val="21"/>
        </w:rPr>
        <w:t>避免长直线或单个</w:t>
      </w:r>
    </w:p>
    <w:p>
      <w:pPr>
        <w:spacing w:line="240" w:lineRule="auto"/>
        <w:ind w:firstLine="945" w:firstLineChars="450"/>
        <w:rPr>
          <w:rFonts w:cs="宋体"/>
          <w:szCs w:val="21"/>
        </w:rPr>
      </w:pPr>
      <w:r>
        <w:rPr>
          <w:rFonts w:cs="宋体"/>
          <w:szCs w:val="21"/>
        </w:rPr>
        <w:t>长大平曲线给驾驶员带来的驾驶疲劳和视觉疲劳</w:t>
      </w:r>
      <w:r>
        <w:rPr>
          <w:rFonts w:hint="eastAsia" w:cs="宋体"/>
          <w:szCs w:val="21"/>
        </w:rPr>
        <w:t>；</w:t>
      </w:r>
    </w:p>
    <w:p>
      <w:pPr>
        <w:spacing w:line="240" w:lineRule="auto"/>
        <w:ind w:firstLine="632" w:firstLineChars="300"/>
        <w:rPr>
          <w:rFonts w:cs="宋体"/>
          <w:szCs w:val="21"/>
        </w:rPr>
      </w:pPr>
      <w:r>
        <w:rPr>
          <w:rFonts w:hint="eastAsia" w:cs="宋体"/>
          <w:b/>
          <w:szCs w:val="21"/>
        </w:rPr>
        <w:t>5</w:t>
      </w:r>
      <w:r>
        <w:rPr>
          <w:rFonts w:hint="eastAsia" w:cs="宋体"/>
          <w:szCs w:val="21"/>
        </w:rPr>
        <w:t>）道路沿线不同路段应根据周边环境状况形成不同的限速要求；</w:t>
      </w:r>
    </w:p>
    <w:bookmarkEnd w:id="265"/>
    <w:bookmarkEnd w:id="266"/>
    <w:p>
      <w:pPr>
        <w:spacing w:line="240" w:lineRule="auto"/>
        <w:ind w:firstLine="632" w:firstLineChars="300"/>
        <w:rPr>
          <w:rFonts w:cs="宋体"/>
          <w:szCs w:val="21"/>
        </w:rPr>
      </w:pPr>
      <w:r>
        <w:rPr>
          <w:rFonts w:hint="eastAsia" w:cs="宋体"/>
          <w:b/>
          <w:szCs w:val="21"/>
        </w:rPr>
        <w:t>6</w:t>
      </w:r>
      <w:r>
        <w:rPr>
          <w:rFonts w:hint="eastAsia" w:cs="宋体"/>
          <w:szCs w:val="21"/>
        </w:rPr>
        <w:t>）对于旧路改扩建项目，在充分利用旧路的前提下，可通过增加缓和曲线方式使前后曲</w:t>
      </w:r>
    </w:p>
    <w:p>
      <w:pPr>
        <w:spacing w:line="240" w:lineRule="auto"/>
        <w:ind w:firstLine="945" w:firstLineChars="450"/>
        <w:rPr>
          <w:rFonts w:cs="宋体"/>
          <w:szCs w:val="21"/>
        </w:rPr>
      </w:pPr>
      <w:r>
        <w:rPr>
          <w:rFonts w:hint="eastAsia" w:cs="宋体"/>
          <w:szCs w:val="21"/>
        </w:rPr>
        <w:t>线相接。</w:t>
      </w:r>
    </w:p>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7</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1</w:t>
      </w:r>
      <w:r>
        <w:rPr>
          <w:rFonts w:ascii="宋体" w:hAnsi="宋体" w:cs="黑体"/>
          <w:bCs/>
          <w:sz w:val="18"/>
          <w:szCs w:val="18"/>
        </w:rPr>
        <w:t xml:space="preserve">  </w:t>
      </w:r>
      <w:r>
        <w:rPr>
          <w:rFonts w:hint="eastAsia" w:eastAsia="黑体" w:cs="黑体"/>
          <w:bCs/>
          <w:sz w:val="18"/>
          <w:szCs w:val="18"/>
        </w:rPr>
        <w:t>圆曲线最小半径</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1060"/>
        <w:gridCol w:w="795"/>
        <w:gridCol w:w="795"/>
        <w:gridCol w:w="660"/>
        <w:gridCol w:w="660"/>
        <w:gridCol w:w="660"/>
        <w:gridCol w:w="660"/>
        <w:gridCol w:w="5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0" w:type="pct"/>
            <w:gridSpan w:val="2"/>
            <w:noWrap w:val="0"/>
            <w:vAlign w:val="center"/>
          </w:tcPr>
          <w:p>
            <w:pPr>
              <w:pStyle w:val="41"/>
              <w:spacing w:line="300" w:lineRule="auto"/>
              <w:jc w:val="center"/>
              <w:rPr>
                <w:rFonts w:ascii="Times New Roman"/>
                <w:sz w:val="15"/>
                <w:szCs w:val="21"/>
              </w:rPr>
            </w:pPr>
            <w:r>
              <w:rPr>
                <w:rFonts w:ascii="Times New Roman"/>
                <w:sz w:val="15"/>
                <w:szCs w:val="21"/>
              </w:rPr>
              <w:t>设计速度（km</w:t>
            </w:r>
            <w:r>
              <w:rPr>
                <w:rFonts w:hint="eastAsia" w:ascii="Times New Roman"/>
                <w:sz w:val="15"/>
                <w:szCs w:val="21"/>
              </w:rPr>
              <w:t>/h</w:t>
            </w:r>
            <w:r>
              <w:rPr>
                <w:rFonts w:ascii="Times New Roman"/>
                <w:sz w:val="15"/>
                <w:szCs w:val="21"/>
              </w:rPr>
              <w:t>）</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100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80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60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40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30</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0" w:type="pct"/>
            <w:gridSpan w:val="2"/>
            <w:noWrap w:val="0"/>
            <w:vAlign w:val="center"/>
          </w:tcPr>
          <w:p>
            <w:pPr>
              <w:pStyle w:val="41"/>
              <w:spacing w:line="300" w:lineRule="auto"/>
              <w:jc w:val="center"/>
              <w:rPr>
                <w:rFonts w:ascii="Times New Roman"/>
                <w:sz w:val="15"/>
                <w:szCs w:val="21"/>
              </w:rPr>
            </w:pPr>
            <w:r>
              <w:rPr>
                <w:rFonts w:ascii="Times New Roman"/>
                <w:sz w:val="15"/>
                <w:szCs w:val="21"/>
              </w:rPr>
              <w:t>不设超高圆曲线最小半径（m）</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1600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1000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600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400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300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150</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1" w:type="pct"/>
            <w:vMerge w:val="restart"/>
            <w:noWrap w:val="0"/>
            <w:vAlign w:val="center"/>
          </w:tcPr>
          <w:p>
            <w:pPr>
              <w:pStyle w:val="41"/>
              <w:spacing w:line="300" w:lineRule="auto"/>
              <w:jc w:val="center"/>
              <w:rPr>
                <w:rFonts w:ascii="Times New Roman"/>
                <w:sz w:val="15"/>
                <w:szCs w:val="21"/>
              </w:rPr>
            </w:pPr>
            <w:r>
              <w:rPr>
                <w:rFonts w:hint="eastAsia" w:ascii="Times New Roman"/>
                <w:sz w:val="15"/>
                <w:szCs w:val="21"/>
              </w:rPr>
              <w:t>设超高圆曲线最小半径（m）</w:t>
            </w:r>
          </w:p>
        </w:tc>
        <w:tc>
          <w:tcPr>
            <w:tcW w:w="559" w:type="pct"/>
            <w:noWrap w:val="0"/>
            <w:vAlign w:val="center"/>
          </w:tcPr>
          <w:p>
            <w:pPr>
              <w:pStyle w:val="41"/>
              <w:spacing w:line="300" w:lineRule="auto"/>
              <w:jc w:val="center"/>
              <w:rPr>
                <w:rFonts w:ascii="Times New Roman"/>
                <w:sz w:val="15"/>
                <w:szCs w:val="21"/>
              </w:rPr>
            </w:pPr>
            <w:r>
              <w:rPr>
                <w:rFonts w:ascii="Times New Roman"/>
                <w:sz w:val="15"/>
                <w:szCs w:val="21"/>
              </w:rPr>
              <w:t>一般值</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650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400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300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200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85</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1" w:type="pct"/>
            <w:vMerge w:val="continue"/>
            <w:noWrap w:val="0"/>
            <w:vAlign w:val="center"/>
          </w:tcPr>
          <w:p>
            <w:pPr>
              <w:pStyle w:val="41"/>
              <w:spacing w:line="300" w:lineRule="auto"/>
              <w:jc w:val="center"/>
              <w:rPr>
                <w:rFonts w:ascii="Times New Roman"/>
                <w:sz w:val="15"/>
                <w:szCs w:val="21"/>
              </w:rPr>
            </w:pPr>
          </w:p>
        </w:tc>
        <w:tc>
          <w:tcPr>
            <w:tcW w:w="559" w:type="pct"/>
            <w:noWrap w:val="0"/>
            <w:vAlign w:val="center"/>
          </w:tcPr>
          <w:p>
            <w:pPr>
              <w:pStyle w:val="41"/>
              <w:spacing w:line="300" w:lineRule="auto"/>
              <w:jc w:val="center"/>
              <w:rPr>
                <w:rFonts w:ascii="Times New Roman"/>
                <w:sz w:val="15"/>
                <w:szCs w:val="21"/>
              </w:rPr>
            </w:pPr>
            <w:r>
              <w:rPr>
                <w:rFonts w:ascii="Times New Roman"/>
                <w:sz w:val="15"/>
                <w:szCs w:val="21"/>
              </w:rPr>
              <w:t>极限值</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400</w:t>
            </w:r>
          </w:p>
        </w:tc>
        <w:tc>
          <w:tcPr>
            <w:tcW w:w="419" w:type="pct"/>
            <w:noWrap w:val="0"/>
            <w:vAlign w:val="center"/>
          </w:tcPr>
          <w:p>
            <w:pPr>
              <w:pStyle w:val="41"/>
              <w:spacing w:line="300" w:lineRule="auto"/>
              <w:jc w:val="center"/>
              <w:rPr>
                <w:rFonts w:ascii="Times New Roman"/>
                <w:sz w:val="15"/>
                <w:szCs w:val="21"/>
              </w:rPr>
            </w:pPr>
            <w:r>
              <w:rPr>
                <w:rFonts w:hint="eastAsia" w:ascii="Times New Roman"/>
                <w:sz w:val="15"/>
                <w:szCs w:val="21"/>
              </w:rPr>
              <w:t>250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150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100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70</w:t>
            </w:r>
          </w:p>
        </w:tc>
        <w:tc>
          <w:tcPr>
            <w:tcW w:w="348" w:type="pct"/>
            <w:noWrap w:val="0"/>
            <w:vAlign w:val="center"/>
          </w:tcPr>
          <w:p>
            <w:pPr>
              <w:pStyle w:val="41"/>
              <w:spacing w:line="300" w:lineRule="auto"/>
              <w:jc w:val="center"/>
              <w:rPr>
                <w:rFonts w:ascii="Times New Roman"/>
                <w:sz w:val="15"/>
                <w:szCs w:val="21"/>
              </w:rPr>
            </w:pPr>
            <w:r>
              <w:rPr>
                <w:rFonts w:hint="eastAsia" w:ascii="Times New Roman"/>
                <w:sz w:val="15"/>
                <w:szCs w:val="21"/>
              </w:rPr>
              <w:t>40</w:t>
            </w:r>
          </w:p>
        </w:tc>
        <w:tc>
          <w:tcPr>
            <w:tcW w:w="278" w:type="pct"/>
            <w:noWrap w:val="0"/>
            <w:vAlign w:val="center"/>
          </w:tcPr>
          <w:p>
            <w:pPr>
              <w:pStyle w:val="41"/>
              <w:spacing w:line="300" w:lineRule="auto"/>
              <w:jc w:val="center"/>
              <w:rPr>
                <w:rFonts w:ascii="Times New Roman"/>
                <w:sz w:val="15"/>
                <w:szCs w:val="21"/>
              </w:rPr>
            </w:pPr>
            <w:r>
              <w:rPr>
                <w:rFonts w:hint="eastAsia" w:ascii="Times New Roman"/>
                <w:sz w:val="15"/>
                <w:szCs w:val="21"/>
              </w:rPr>
              <w:t>20</w:t>
            </w:r>
          </w:p>
        </w:tc>
      </w:tr>
    </w:tbl>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纵断面</w:t>
      </w:r>
    </w:p>
    <w:p>
      <w:pPr>
        <w:spacing w:line="240" w:lineRule="auto"/>
        <w:ind w:firstLine="632" w:firstLineChars="300"/>
        <w:rPr>
          <w:rFonts w:cs="宋体"/>
          <w:szCs w:val="21"/>
        </w:rPr>
      </w:pPr>
      <w:r>
        <w:rPr>
          <w:rFonts w:hint="eastAsia" w:cs="宋体"/>
          <w:b/>
          <w:szCs w:val="21"/>
        </w:rPr>
        <w:t>1</w:t>
      </w:r>
      <w:r>
        <w:rPr>
          <w:rFonts w:hint="eastAsia" w:cs="宋体"/>
          <w:szCs w:val="21"/>
        </w:rPr>
        <w:t>）应符合《城市道路路线设计规范》CJJ 193的规定，根据道路类型、道路等级、交通量、</w:t>
      </w:r>
    </w:p>
    <w:p>
      <w:pPr>
        <w:spacing w:line="240" w:lineRule="auto"/>
        <w:ind w:firstLine="945" w:firstLineChars="450"/>
        <w:rPr>
          <w:rFonts w:cs="宋体"/>
          <w:szCs w:val="21"/>
        </w:rPr>
      </w:pPr>
      <w:r>
        <w:rPr>
          <w:rFonts w:hint="eastAsia" w:cs="宋体"/>
          <w:szCs w:val="21"/>
        </w:rPr>
        <w:t>交通安全和排水要求因素，选择设计纵坡；</w:t>
      </w:r>
    </w:p>
    <w:p>
      <w:pPr>
        <w:spacing w:line="240" w:lineRule="auto"/>
        <w:ind w:firstLine="632" w:firstLineChars="300"/>
        <w:rPr>
          <w:rFonts w:cs="宋体"/>
          <w:szCs w:val="21"/>
        </w:rPr>
      </w:pPr>
      <w:r>
        <w:rPr>
          <w:rFonts w:cs="宋体"/>
          <w:b/>
          <w:szCs w:val="21"/>
        </w:rPr>
        <w:t>2</w:t>
      </w:r>
      <w:r>
        <w:rPr>
          <w:rFonts w:hint="eastAsia" w:cs="宋体"/>
          <w:szCs w:val="21"/>
        </w:rPr>
        <w:t>）纵断面线形应与周围地形、地貌相适应，在满足视觉连续、平滑顺适的要求下，应灵</w:t>
      </w:r>
    </w:p>
    <w:p>
      <w:pPr>
        <w:spacing w:line="240" w:lineRule="auto"/>
        <w:ind w:firstLine="945" w:firstLineChars="450"/>
        <w:rPr>
          <w:rFonts w:cs="宋体"/>
          <w:szCs w:val="21"/>
        </w:rPr>
      </w:pPr>
      <w:r>
        <w:rPr>
          <w:rFonts w:hint="eastAsia" w:cs="宋体"/>
          <w:szCs w:val="21"/>
        </w:rPr>
        <w:t>活选择指标，适当增加变坡点，使平纵线形吻合地形，实现低填浅挖；</w:t>
      </w:r>
    </w:p>
    <w:p>
      <w:pPr>
        <w:spacing w:line="240" w:lineRule="auto"/>
        <w:ind w:firstLine="632" w:firstLineChars="300"/>
        <w:rPr>
          <w:rFonts w:cs="宋体"/>
          <w:szCs w:val="21"/>
        </w:rPr>
      </w:pPr>
      <w:r>
        <w:rPr>
          <w:rFonts w:hint="eastAsia" w:cs="宋体"/>
          <w:b/>
          <w:szCs w:val="21"/>
        </w:rPr>
        <w:t>3</w:t>
      </w:r>
      <w:r>
        <w:rPr>
          <w:rFonts w:hint="eastAsia" w:cs="宋体"/>
          <w:szCs w:val="21"/>
        </w:rPr>
        <w:t>）路线方案选择和路线布设时，应避免在设计中使用连续长大坡；</w:t>
      </w:r>
    </w:p>
    <w:p>
      <w:pPr>
        <w:spacing w:line="240" w:lineRule="auto"/>
        <w:ind w:firstLine="632" w:firstLineChars="300"/>
        <w:rPr>
          <w:rFonts w:cs="宋体"/>
          <w:szCs w:val="21"/>
        </w:rPr>
      </w:pPr>
      <w:r>
        <w:rPr>
          <w:rFonts w:hint="eastAsia" w:cs="宋体"/>
          <w:b/>
          <w:szCs w:val="21"/>
        </w:rPr>
        <w:t>4</w:t>
      </w:r>
      <w:r>
        <w:rPr>
          <w:rFonts w:hint="eastAsia" w:cs="宋体"/>
          <w:szCs w:val="21"/>
        </w:rPr>
        <w:t>）在地势高差较大路段可采用回头或螺旋展线克服高差，减缓长下坡路段的纵坡，并加</w:t>
      </w:r>
    </w:p>
    <w:p>
      <w:pPr>
        <w:spacing w:line="240" w:lineRule="auto"/>
        <w:ind w:firstLine="945" w:firstLineChars="450"/>
        <w:rPr>
          <w:rFonts w:cs="宋体"/>
          <w:szCs w:val="21"/>
        </w:rPr>
      </w:pPr>
      <w:r>
        <w:rPr>
          <w:rFonts w:hint="eastAsia" w:cs="宋体"/>
          <w:szCs w:val="21"/>
        </w:rPr>
        <w:t>强交通安全设施设置，提高运行安全性；</w:t>
      </w:r>
    </w:p>
    <w:p>
      <w:pPr>
        <w:spacing w:line="240" w:lineRule="auto"/>
        <w:ind w:firstLine="632" w:firstLineChars="300"/>
        <w:rPr>
          <w:rFonts w:cs="宋体"/>
          <w:szCs w:val="21"/>
        </w:rPr>
      </w:pPr>
      <w:r>
        <w:rPr>
          <w:rFonts w:hint="eastAsia" w:cs="宋体"/>
          <w:b/>
          <w:szCs w:val="21"/>
        </w:rPr>
        <w:t>5</w:t>
      </w:r>
      <w:r>
        <w:rPr>
          <w:rFonts w:hint="eastAsia" w:cs="宋体"/>
          <w:szCs w:val="21"/>
        </w:rPr>
        <w:t>）对于地形变化段，应增加路线纵坡坡长和坡度，适应地形和运行速度变化，减少填挖</w:t>
      </w:r>
    </w:p>
    <w:p>
      <w:pPr>
        <w:spacing w:line="240" w:lineRule="auto"/>
        <w:ind w:firstLine="945" w:firstLineChars="450"/>
        <w:rPr>
          <w:rFonts w:cs="宋体"/>
          <w:szCs w:val="21"/>
        </w:rPr>
      </w:pPr>
      <w:r>
        <w:rPr>
          <w:rFonts w:hint="eastAsia" w:cs="宋体"/>
          <w:szCs w:val="21"/>
        </w:rPr>
        <w:t>数量；</w:t>
      </w:r>
    </w:p>
    <w:p>
      <w:pPr>
        <w:spacing w:line="240" w:lineRule="auto"/>
        <w:ind w:firstLine="632" w:firstLineChars="300"/>
        <w:rPr>
          <w:rFonts w:cs="宋体"/>
          <w:szCs w:val="21"/>
        </w:rPr>
      </w:pPr>
      <w:r>
        <w:rPr>
          <w:rFonts w:hint="eastAsia" w:cs="宋体"/>
          <w:b/>
          <w:szCs w:val="21"/>
        </w:rPr>
        <w:t>6</w:t>
      </w:r>
      <w:r>
        <w:rPr>
          <w:rFonts w:hint="eastAsia" w:cs="宋体"/>
          <w:szCs w:val="21"/>
        </w:rPr>
        <w:t>）可根据交通量构成，结合车型动力和制动性能特征，以及驾驶员的习惯和期望，合理</w:t>
      </w:r>
      <w:bookmarkStart w:id="267" w:name="OLE_LINK244"/>
    </w:p>
    <w:bookmarkEnd w:id="267"/>
    <w:p>
      <w:pPr>
        <w:spacing w:line="240" w:lineRule="auto"/>
        <w:ind w:firstLine="945" w:firstLineChars="450"/>
        <w:rPr>
          <w:rFonts w:cs="宋体"/>
          <w:szCs w:val="21"/>
        </w:rPr>
      </w:pPr>
      <w:r>
        <w:rPr>
          <w:rFonts w:hint="eastAsia" w:cs="宋体"/>
          <w:szCs w:val="21"/>
        </w:rPr>
        <w:t>设置缓和坡段，分段克服高差。</w:t>
      </w:r>
    </w:p>
    <w:p>
      <w:pPr>
        <w:spacing w:line="240" w:lineRule="auto"/>
        <w:ind w:firstLine="421" w:firstLineChars="200"/>
        <w:jc w:val="left"/>
        <w:rPr>
          <w:szCs w:val="21"/>
        </w:rPr>
      </w:pPr>
      <w:r>
        <w:rPr>
          <w:rFonts w:hint="eastAsia"/>
          <w:b/>
          <w:bCs/>
          <w:szCs w:val="21"/>
        </w:rPr>
        <w:t>3</w:t>
      </w:r>
      <w:r>
        <w:rPr>
          <w:rFonts w:hint="eastAsia"/>
          <w:szCs w:val="21"/>
        </w:rPr>
        <w:t xml:space="preserve"> </w:t>
      </w:r>
      <w:r>
        <w:rPr>
          <w:szCs w:val="21"/>
        </w:rPr>
        <w:t xml:space="preserve"> </w:t>
      </w:r>
      <w:r>
        <w:rPr>
          <w:rFonts w:hint="eastAsia"/>
          <w:szCs w:val="21"/>
        </w:rPr>
        <w:t>横断面</w:t>
      </w:r>
    </w:p>
    <w:p>
      <w:pPr>
        <w:spacing w:line="240" w:lineRule="auto"/>
        <w:ind w:firstLine="632" w:firstLineChars="300"/>
        <w:rPr>
          <w:rFonts w:cs="宋体"/>
          <w:szCs w:val="21"/>
        </w:rPr>
      </w:pPr>
      <w:r>
        <w:rPr>
          <w:rFonts w:hint="eastAsia" w:cs="宋体"/>
          <w:b/>
          <w:szCs w:val="21"/>
        </w:rPr>
        <w:t>1</w:t>
      </w:r>
      <w:r>
        <w:rPr>
          <w:rFonts w:hint="eastAsia" w:cs="宋体"/>
          <w:szCs w:val="21"/>
        </w:rPr>
        <w:t>）应符合《道路设计标准》</w:t>
      </w:r>
      <w:bookmarkStart w:id="268" w:name="OLE_LINK30"/>
      <w:bookmarkStart w:id="269" w:name="OLE_LINK31"/>
      <w:r>
        <w:rPr>
          <w:rFonts w:hint="eastAsia" w:cs="宋体"/>
          <w:szCs w:val="21"/>
        </w:rPr>
        <w:t>SJG 69</w:t>
      </w:r>
      <w:bookmarkEnd w:id="268"/>
      <w:bookmarkEnd w:id="269"/>
      <w:r>
        <w:rPr>
          <w:rFonts w:hint="eastAsia" w:cs="宋体"/>
          <w:szCs w:val="21"/>
        </w:rPr>
        <w:t>的规定，根据道路功能定位和交通流量合理布设机动</w:t>
      </w:r>
    </w:p>
    <w:p>
      <w:pPr>
        <w:spacing w:line="240" w:lineRule="auto"/>
        <w:ind w:firstLine="945" w:firstLineChars="450"/>
        <w:rPr>
          <w:rFonts w:cs="宋体"/>
          <w:szCs w:val="21"/>
        </w:rPr>
      </w:pPr>
      <w:r>
        <w:rPr>
          <w:rFonts w:hint="eastAsia" w:cs="宋体"/>
          <w:szCs w:val="21"/>
        </w:rPr>
        <w:t>车道、自行车道、人行道、绿化带、分隔带、设施带等横断面功能带；</w:t>
      </w:r>
    </w:p>
    <w:p>
      <w:pPr>
        <w:spacing w:line="240" w:lineRule="auto"/>
        <w:ind w:firstLine="632" w:firstLineChars="300"/>
        <w:rPr>
          <w:rFonts w:cs="宋体"/>
          <w:szCs w:val="21"/>
        </w:rPr>
      </w:pPr>
      <w:r>
        <w:rPr>
          <w:rFonts w:cs="宋体"/>
          <w:b/>
          <w:szCs w:val="21"/>
        </w:rPr>
        <w:t>2</w:t>
      </w:r>
      <w:r>
        <w:rPr>
          <w:rFonts w:hint="eastAsia" w:cs="宋体"/>
          <w:szCs w:val="21"/>
        </w:rPr>
        <w:t>）应合理布置道路横断面，提高智能交通设施、路灯能源效率，减少非必要的土石方工</w:t>
      </w:r>
    </w:p>
    <w:p>
      <w:pPr>
        <w:spacing w:line="240" w:lineRule="auto"/>
        <w:ind w:firstLine="945" w:firstLineChars="450"/>
        <w:rPr>
          <w:rFonts w:cs="宋体"/>
          <w:szCs w:val="21"/>
        </w:rPr>
      </w:pPr>
      <w:r>
        <w:rPr>
          <w:rFonts w:hint="eastAsia" w:cs="宋体"/>
          <w:szCs w:val="21"/>
        </w:rPr>
        <w:t>程；</w:t>
      </w:r>
    </w:p>
    <w:p>
      <w:pPr>
        <w:spacing w:line="240" w:lineRule="auto"/>
        <w:ind w:firstLine="632" w:firstLineChars="300"/>
        <w:rPr>
          <w:rFonts w:cs="宋体"/>
          <w:szCs w:val="21"/>
        </w:rPr>
      </w:pPr>
      <w:r>
        <w:rPr>
          <w:rFonts w:hint="eastAsia" w:cs="宋体"/>
          <w:b/>
          <w:szCs w:val="21"/>
        </w:rPr>
        <w:t>3</w:t>
      </w:r>
      <w:r>
        <w:rPr>
          <w:rFonts w:hint="eastAsia" w:cs="宋体"/>
          <w:szCs w:val="21"/>
        </w:rPr>
        <w:t>）道路横断面布置应与道路周边建筑空间和景观统筹协调；</w:t>
      </w:r>
    </w:p>
    <w:p>
      <w:pPr>
        <w:spacing w:line="240" w:lineRule="auto"/>
        <w:ind w:firstLine="632" w:firstLineChars="300"/>
        <w:rPr>
          <w:rFonts w:cs="宋体"/>
          <w:szCs w:val="21"/>
        </w:rPr>
      </w:pPr>
      <w:bookmarkStart w:id="270" w:name="OLE_LINK80"/>
      <w:r>
        <w:rPr>
          <w:rFonts w:hint="eastAsia" w:cs="宋体"/>
          <w:b/>
          <w:szCs w:val="21"/>
        </w:rPr>
        <w:t>4</w:t>
      </w:r>
      <w:r>
        <w:rPr>
          <w:rFonts w:hint="eastAsia" w:cs="宋体"/>
          <w:szCs w:val="21"/>
        </w:rPr>
        <w:t>）</w:t>
      </w:r>
      <w:bookmarkEnd w:id="270"/>
      <w:r>
        <w:rPr>
          <w:rFonts w:hint="eastAsia" w:cs="宋体"/>
          <w:szCs w:val="21"/>
        </w:rPr>
        <w:t>应借助景观绿化设计和防护设施，保护边坡稳定，减少土壤侵蚀和水资源污染；</w:t>
      </w:r>
    </w:p>
    <w:p>
      <w:pPr>
        <w:spacing w:line="240" w:lineRule="auto"/>
        <w:ind w:firstLine="632" w:firstLineChars="300"/>
        <w:rPr>
          <w:rFonts w:cs="宋体"/>
          <w:szCs w:val="21"/>
        </w:rPr>
      </w:pPr>
      <w:r>
        <w:rPr>
          <w:rFonts w:hint="eastAsia" w:cs="宋体"/>
          <w:b/>
          <w:szCs w:val="21"/>
        </w:rPr>
        <w:t>5</w:t>
      </w:r>
      <w:r>
        <w:rPr>
          <w:rFonts w:hint="eastAsia" w:cs="宋体"/>
          <w:szCs w:val="21"/>
        </w:rPr>
        <w:t>）应通过“多杆合一”的方式有效整合交通标志、交通信号灯、路灯及其他设施标志，</w:t>
      </w:r>
    </w:p>
    <w:p>
      <w:pPr>
        <w:spacing w:line="240" w:lineRule="auto"/>
        <w:ind w:firstLine="945" w:firstLineChars="450"/>
        <w:rPr>
          <w:rFonts w:cs="宋体"/>
          <w:szCs w:val="21"/>
        </w:rPr>
      </w:pPr>
      <w:r>
        <w:rPr>
          <w:rFonts w:hint="eastAsia" w:cs="宋体"/>
          <w:szCs w:val="21"/>
        </w:rPr>
        <w:t>减少道路杆件数量。</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土石方</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利用地形起伏的变化段，增加路线纵坡长度和坡度，进行土石方平衡设计，减少挖方和填方量；</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在满足视距要求和保证纵面视线连续的前提下，宜做到平曲线内包含竖曲线，有效降低路基填土高度；</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应</w:t>
      </w:r>
      <w:r>
        <w:rPr>
          <w:rFonts w:hint="eastAsia"/>
          <w:szCs w:val="21"/>
        </w:rPr>
        <w:t>推行土石方材料的回收与再利用，包括硬质岩挖方和隧道洞渣用于结构工程及路面工程；</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与桥梁方案相比，在深沟路段，地基条件好、地形平缓</w:t>
      </w:r>
      <w:r>
        <w:rPr>
          <w:rFonts w:hint="eastAsia"/>
          <w:szCs w:val="21"/>
        </w:rPr>
        <w:t>、</w:t>
      </w:r>
      <w:r>
        <w:rPr>
          <w:szCs w:val="21"/>
        </w:rPr>
        <w:t>前后路段挖方数量较多时，可根据沟深和实地情况设置</w:t>
      </w:r>
      <w:r>
        <w:rPr>
          <w:rFonts w:hint="eastAsia"/>
          <w:szCs w:val="21"/>
        </w:rPr>
        <w:t>高路堤，用来处理和消化弃方；</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与</w:t>
      </w:r>
      <w:r>
        <w:rPr>
          <w:rFonts w:hint="eastAsia"/>
          <w:szCs w:val="21"/>
        </w:rPr>
        <w:t>隧道</w:t>
      </w:r>
      <w:r>
        <w:rPr>
          <w:szCs w:val="21"/>
        </w:rPr>
        <w:t>方案相比，路线顺坡向布设、前后路段需弃方或借方数量较少，</w:t>
      </w:r>
      <w:r>
        <w:rPr>
          <w:rFonts w:hint="eastAsia"/>
          <w:szCs w:val="21"/>
        </w:rPr>
        <w:t>路基挖方边坡高度大于40m时，宜</w:t>
      </w:r>
      <w:r>
        <w:rPr>
          <w:szCs w:val="21"/>
        </w:rPr>
        <w:t>设置深挖路堑扩大石方取用量，减少对线外筑路材料料场的需求</w:t>
      </w:r>
      <w:r>
        <w:rPr>
          <w:rFonts w:hint="eastAsia"/>
          <w:szCs w:val="21"/>
        </w:rPr>
        <w:t>；</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硬质岩挖方利用，</w:t>
      </w:r>
      <w:r>
        <w:rPr>
          <w:rFonts w:hint="eastAsia"/>
          <w:szCs w:val="21"/>
        </w:rPr>
        <w:t>可考虑以下因素：</w:t>
      </w:r>
      <w:r>
        <w:rPr>
          <w:szCs w:val="21"/>
        </w:rPr>
        <w:t xml:space="preserve"> </w:t>
      </w:r>
    </w:p>
    <w:p>
      <w:pPr>
        <w:spacing w:line="240" w:lineRule="auto"/>
        <w:ind w:firstLine="632" w:firstLineChars="300"/>
        <w:rPr>
          <w:rFonts w:cs="宋体"/>
          <w:szCs w:val="21"/>
        </w:rPr>
      </w:pPr>
      <w:bookmarkStart w:id="271" w:name="OLE_LINK65"/>
      <w:bookmarkStart w:id="272" w:name="OLE_LINK64"/>
      <w:r>
        <w:rPr>
          <w:rFonts w:hint="eastAsia" w:cs="宋体"/>
          <w:b/>
          <w:szCs w:val="21"/>
        </w:rPr>
        <w:t>1</w:t>
      </w:r>
      <w:r>
        <w:rPr>
          <w:rFonts w:hint="eastAsia" w:cs="宋体"/>
          <w:szCs w:val="21"/>
        </w:rPr>
        <w:t>）优质硬质岩加工成片石、碎石和机制砂，用作防护排水工程圬工、隧道衬砌、桥涵结</w:t>
      </w:r>
    </w:p>
    <w:p>
      <w:pPr>
        <w:spacing w:line="240" w:lineRule="auto"/>
        <w:ind w:firstLine="945" w:firstLineChars="450"/>
        <w:rPr>
          <w:rFonts w:cs="宋体"/>
          <w:szCs w:val="21"/>
        </w:rPr>
      </w:pPr>
      <w:r>
        <w:rPr>
          <w:rFonts w:hint="eastAsia" w:cs="宋体"/>
          <w:szCs w:val="21"/>
        </w:rPr>
        <w:t>构物、支挡结构物的混凝土集料，路面的面层、基层和底基层，以及附属工程的混凝</w:t>
      </w:r>
    </w:p>
    <w:p>
      <w:pPr>
        <w:spacing w:line="240" w:lineRule="auto"/>
        <w:ind w:firstLine="945" w:firstLineChars="450"/>
        <w:rPr>
          <w:rFonts w:cs="宋体"/>
          <w:szCs w:val="21"/>
        </w:rPr>
      </w:pPr>
      <w:r>
        <w:rPr>
          <w:rFonts w:hint="eastAsia" w:cs="宋体"/>
          <w:szCs w:val="21"/>
        </w:rPr>
        <w:t>土构件；</w:t>
      </w:r>
    </w:p>
    <w:bookmarkEnd w:id="271"/>
    <w:bookmarkEnd w:id="272"/>
    <w:p>
      <w:pPr>
        <w:spacing w:line="240" w:lineRule="auto"/>
        <w:ind w:firstLine="632" w:firstLineChars="300"/>
        <w:rPr>
          <w:rFonts w:cs="宋体"/>
          <w:szCs w:val="21"/>
        </w:rPr>
      </w:pPr>
      <w:bookmarkStart w:id="273" w:name="OLE_LINK51"/>
      <w:bookmarkStart w:id="274" w:name="OLE_LINK50"/>
      <w:r>
        <w:rPr>
          <w:rFonts w:cs="宋体"/>
          <w:b/>
          <w:szCs w:val="21"/>
        </w:rPr>
        <w:t>2</w:t>
      </w:r>
      <w:r>
        <w:rPr>
          <w:rFonts w:hint="eastAsia" w:cs="宋体"/>
          <w:szCs w:val="21"/>
        </w:rPr>
        <w:t>）次</w:t>
      </w:r>
      <w:bookmarkEnd w:id="273"/>
      <w:bookmarkEnd w:id="274"/>
      <w:r>
        <w:rPr>
          <w:rFonts w:hint="eastAsia" w:cs="宋体"/>
          <w:szCs w:val="21"/>
        </w:rPr>
        <w:t>级硬质岩用作路面功能改善层，或者路床填料、台背填料；</w:t>
      </w:r>
    </w:p>
    <w:p>
      <w:pPr>
        <w:spacing w:line="240" w:lineRule="auto"/>
        <w:ind w:firstLine="632" w:firstLineChars="300"/>
        <w:rPr>
          <w:rFonts w:cs="宋体"/>
          <w:szCs w:val="21"/>
        </w:rPr>
      </w:pPr>
      <w:r>
        <w:rPr>
          <w:rFonts w:hint="eastAsia" w:cs="宋体"/>
          <w:b/>
          <w:szCs w:val="21"/>
        </w:rPr>
        <w:t>3</w:t>
      </w:r>
      <w:r>
        <w:rPr>
          <w:rFonts w:hint="eastAsia" w:cs="宋体"/>
          <w:szCs w:val="21"/>
        </w:rPr>
        <w:t>）硬质岩残渣用于路基填筑及基底换填。</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速度</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应符合《道路设计标准》</w:t>
      </w:r>
      <w:r>
        <w:rPr>
          <w:bCs/>
          <w:szCs w:val="21"/>
        </w:rPr>
        <w:t>SJG 69</w:t>
      </w:r>
      <w:r>
        <w:rPr>
          <w:rFonts w:hint="eastAsia"/>
          <w:bCs/>
          <w:szCs w:val="21"/>
        </w:rPr>
        <w:t>的规定，根据道路工程在道路网中的区位、交通功能、沿线的服务功能、地形和地貌、交通量、服务水平条件设计合理的速度；</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同一建设项目的不同路段应选择与地理位置、沿线地形地质条件、技术指标相匹配的设计速度，并做好不同设计速度路段之间的衔接与过渡；</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设计速度分段时，相邻路段的设计速度差应不大于20km/h。可通过改善相邻路段平纵线形指标组合，减少设计速度差，提高线形均衡性。</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路面</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路面结构的设计应符合《道路设计标准》</w:t>
      </w:r>
      <w:r>
        <w:rPr>
          <w:bCs/>
          <w:szCs w:val="21"/>
        </w:rPr>
        <w:t>SJG 69</w:t>
      </w:r>
      <w:r>
        <w:rPr>
          <w:rFonts w:hint="eastAsia"/>
          <w:bCs/>
          <w:szCs w:val="21"/>
        </w:rPr>
        <w:t>的规定；</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道路改扩建时，应进行现有路面材料再生利用分析。再生沥青面层宜采用厂拌热再生或就地热再生沥青混合料。水泥混凝土面层宜加铺利用或碎石化利用；</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长寿命路面应选择优质材料包括高强度沥青混凝土和高性能水泥混凝土等，其结构设计应考虑设计标准轴次、荷载及轮胎压力，容易维修，安全、耐久及可再生性能等因素，可采用先进施工工艺提高路面的密实度和平整度；</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应推广温拌技术，</w:t>
      </w:r>
      <w:r>
        <w:rPr>
          <w:rFonts w:hint="eastAsia"/>
          <w:szCs w:val="21"/>
        </w:rPr>
        <w:t>降低沥青混合料的施工拌和与压实温度，在满足路用性能使用需求的同时，实现节能减排沥青铺装。</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桥梁涵洞</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应符合《桥梁工程设计标准》SJG 71规定，</w:t>
      </w:r>
      <w:r>
        <w:rPr>
          <w:rFonts w:hint="eastAsia"/>
          <w:szCs w:val="21"/>
        </w:rPr>
        <w:t>在桥梁设计中综合考虑从建设到维修的所有成本，采用耐久、低维护和环保的设计，降低整体碳足迹；</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在城市道路桥梁设计中应考虑未来交通需求变化，确保桥梁具有足够容量和可扩展性，适应交通流量的增长需求；</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应</w:t>
      </w:r>
      <w:r>
        <w:rPr>
          <w:rFonts w:hint="eastAsia"/>
          <w:bCs/>
          <w:szCs w:val="21"/>
        </w:rPr>
        <w:t>考虑使用轻质但具有足够强度和刚度的结构材料，包括高性能钢、钢-混凝土组合和全预制拼装预应力混凝土结构，降低桥梁的自重和材料用量；</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应</w:t>
      </w:r>
      <w:r>
        <w:rPr>
          <w:rFonts w:hint="eastAsia"/>
          <w:bCs/>
          <w:szCs w:val="21"/>
        </w:rPr>
        <w:t>将预制构件设计为模块化和标准化的形式，便于工厂化生产和现场组装；</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可</w:t>
      </w:r>
      <w:r>
        <w:rPr>
          <w:rFonts w:hint="eastAsia"/>
          <w:szCs w:val="21"/>
        </w:rPr>
        <w:t>通过结构优化和性能设计，确保构件的结构承载能力与设计要求相匹配，并采用最佳形状设计和优化的截面尺寸，降低构件的自重并提高材料利用率；</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预制拼装混凝土桥梁宜采用高性能混凝土或超高性能混凝土，强度等级应不低于C50；</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城市桥梁应根据结构特点、使用年限、环境条件、施工条件等进行耐久性设计，其内容包括：</w:t>
      </w:r>
    </w:p>
    <w:p>
      <w:pPr>
        <w:spacing w:line="240" w:lineRule="auto"/>
        <w:ind w:firstLine="632" w:firstLineChars="300"/>
        <w:rPr>
          <w:rFonts w:cs="宋体"/>
          <w:szCs w:val="21"/>
        </w:rPr>
      </w:pPr>
      <w:r>
        <w:rPr>
          <w:rFonts w:hint="eastAsia" w:cs="宋体"/>
          <w:b/>
          <w:szCs w:val="21"/>
        </w:rPr>
        <w:t>1</w:t>
      </w:r>
      <w:r>
        <w:rPr>
          <w:rFonts w:hint="eastAsia" w:cs="宋体"/>
          <w:szCs w:val="21"/>
        </w:rPr>
        <w:t>）确定结构所处的环境类别和环境作用等级；</w:t>
      </w:r>
    </w:p>
    <w:p>
      <w:pPr>
        <w:spacing w:line="240" w:lineRule="auto"/>
        <w:ind w:firstLine="632" w:firstLineChars="300"/>
        <w:rPr>
          <w:rFonts w:cs="宋体"/>
          <w:szCs w:val="21"/>
        </w:rPr>
      </w:pPr>
      <w:r>
        <w:rPr>
          <w:rFonts w:cs="宋体"/>
          <w:b/>
          <w:szCs w:val="21"/>
        </w:rPr>
        <w:t>2</w:t>
      </w:r>
      <w:r>
        <w:rPr>
          <w:rFonts w:hint="eastAsia" w:cs="宋体"/>
          <w:szCs w:val="21"/>
        </w:rPr>
        <w:t>）桥梁结构各构件的设计使用年限；</w:t>
      </w:r>
    </w:p>
    <w:p>
      <w:pPr>
        <w:spacing w:line="240" w:lineRule="auto"/>
        <w:ind w:firstLine="632" w:firstLineChars="300"/>
        <w:rPr>
          <w:rFonts w:cs="宋体"/>
          <w:szCs w:val="21"/>
        </w:rPr>
      </w:pPr>
      <w:r>
        <w:rPr>
          <w:rFonts w:hint="eastAsia" w:cs="宋体"/>
          <w:b/>
          <w:szCs w:val="21"/>
        </w:rPr>
        <w:t>3</w:t>
      </w:r>
      <w:r>
        <w:rPr>
          <w:rFonts w:hint="eastAsia" w:cs="宋体"/>
          <w:szCs w:val="21"/>
        </w:rPr>
        <w:t>）混凝土材料的耐久性基本要求；</w:t>
      </w:r>
    </w:p>
    <w:p>
      <w:pPr>
        <w:spacing w:line="240" w:lineRule="auto"/>
        <w:ind w:firstLine="632" w:firstLineChars="300"/>
        <w:rPr>
          <w:rFonts w:cs="宋体"/>
          <w:szCs w:val="21"/>
        </w:rPr>
      </w:pPr>
      <w:r>
        <w:rPr>
          <w:rFonts w:hint="eastAsia" w:cs="宋体"/>
          <w:b/>
          <w:szCs w:val="21"/>
        </w:rPr>
        <w:t>4</w:t>
      </w:r>
      <w:r>
        <w:rPr>
          <w:rFonts w:hint="eastAsia" w:cs="宋体"/>
          <w:szCs w:val="21"/>
        </w:rPr>
        <w:t>）混凝土的耐久性防护措施；</w:t>
      </w:r>
    </w:p>
    <w:p>
      <w:pPr>
        <w:spacing w:line="240" w:lineRule="auto"/>
        <w:ind w:firstLine="632" w:firstLineChars="300"/>
        <w:rPr>
          <w:rFonts w:cs="宋体"/>
          <w:szCs w:val="21"/>
        </w:rPr>
      </w:pPr>
      <w:r>
        <w:rPr>
          <w:rFonts w:hint="eastAsia" w:cs="宋体"/>
          <w:b/>
          <w:szCs w:val="21"/>
        </w:rPr>
        <w:t>5</w:t>
      </w:r>
      <w:r>
        <w:rPr>
          <w:rFonts w:hint="eastAsia" w:cs="宋体"/>
          <w:szCs w:val="21"/>
        </w:rPr>
        <w:t>）钢材的耐久性防护措施；</w:t>
      </w:r>
    </w:p>
    <w:p>
      <w:pPr>
        <w:spacing w:line="240" w:lineRule="auto"/>
        <w:ind w:firstLine="632" w:firstLineChars="300"/>
        <w:rPr>
          <w:rFonts w:cs="宋体"/>
          <w:szCs w:val="21"/>
        </w:rPr>
      </w:pPr>
      <w:r>
        <w:rPr>
          <w:rFonts w:hint="eastAsia" w:cs="宋体"/>
          <w:b/>
          <w:szCs w:val="21"/>
        </w:rPr>
        <w:t>6</w:t>
      </w:r>
      <w:r>
        <w:rPr>
          <w:rFonts w:hint="eastAsia" w:cs="宋体"/>
          <w:szCs w:val="21"/>
        </w:rPr>
        <w:t>）钢筋的混凝土保护层厚度要求；</w:t>
      </w:r>
    </w:p>
    <w:p>
      <w:pPr>
        <w:spacing w:line="240" w:lineRule="auto"/>
        <w:ind w:firstLine="632" w:firstLineChars="300"/>
        <w:rPr>
          <w:rFonts w:cs="宋体"/>
          <w:szCs w:val="21"/>
        </w:rPr>
      </w:pPr>
      <w:r>
        <w:rPr>
          <w:rFonts w:hint="eastAsia" w:cs="宋体"/>
          <w:b/>
          <w:szCs w:val="21"/>
        </w:rPr>
        <w:t>7</w:t>
      </w:r>
      <w:r>
        <w:rPr>
          <w:rFonts w:hint="eastAsia" w:cs="宋体"/>
          <w:szCs w:val="21"/>
        </w:rPr>
        <w:t>）附属结构的耐久性技术措施；</w:t>
      </w:r>
    </w:p>
    <w:p>
      <w:pPr>
        <w:spacing w:line="240" w:lineRule="auto"/>
        <w:ind w:firstLine="632" w:firstLineChars="300"/>
        <w:rPr>
          <w:rFonts w:cs="宋体"/>
          <w:szCs w:val="21"/>
        </w:rPr>
      </w:pPr>
      <w:r>
        <w:rPr>
          <w:rFonts w:hint="eastAsia" w:cs="宋体"/>
          <w:b/>
          <w:szCs w:val="21"/>
        </w:rPr>
        <w:t>8</w:t>
      </w:r>
      <w:r>
        <w:rPr>
          <w:rFonts w:hint="eastAsia" w:cs="宋体"/>
          <w:szCs w:val="21"/>
        </w:rPr>
        <w:t>）结构使用阶段的检测和养护要求；</w:t>
      </w:r>
    </w:p>
    <w:p>
      <w:pPr>
        <w:spacing w:line="240" w:lineRule="auto"/>
        <w:ind w:firstLine="632" w:firstLineChars="300"/>
        <w:rPr>
          <w:rFonts w:cs="宋体"/>
          <w:szCs w:val="21"/>
        </w:rPr>
      </w:pPr>
      <w:r>
        <w:rPr>
          <w:rFonts w:hint="eastAsia" w:cs="宋体"/>
          <w:b/>
          <w:szCs w:val="21"/>
        </w:rPr>
        <w:t>9</w:t>
      </w:r>
      <w:r>
        <w:rPr>
          <w:rFonts w:hint="eastAsia" w:cs="宋体"/>
          <w:szCs w:val="21"/>
        </w:rPr>
        <w:t>）特殊环境条件下的耐久性技术措施；</w:t>
      </w:r>
    </w:p>
    <w:p>
      <w:pPr>
        <w:spacing w:line="240" w:lineRule="auto"/>
        <w:ind w:firstLine="632" w:firstLineChars="300"/>
        <w:rPr>
          <w:rFonts w:cs="宋体"/>
          <w:szCs w:val="21"/>
        </w:rPr>
      </w:pPr>
      <w:r>
        <w:rPr>
          <w:rFonts w:hint="eastAsia" w:cs="宋体"/>
          <w:b/>
          <w:szCs w:val="21"/>
        </w:rPr>
        <w:t>10</w:t>
      </w:r>
      <w:r>
        <w:rPr>
          <w:rFonts w:hint="eastAsia" w:cs="宋体"/>
          <w:szCs w:val="21"/>
        </w:rPr>
        <w:t>）关键结构部位的特殊耐久性技术措施。</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对同一类桥梁，应合理划分并设</w:t>
      </w:r>
      <w:bookmarkStart w:id="275" w:name="OLE_LINK245"/>
      <w:r>
        <w:rPr>
          <w:szCs w:val="21"/>
        </w:rPr>
        <w:t>计</w:t>
      </w:r>
      <w:bookmarkEnd w:id="275"/>
      <w:r>
        <w:rPr>
          <w:szCs w:val="21"/>
        </w:rPr>
        <w:t>出一系列功能模块，通过模块的选择和组合，构成不同桥宽及跨径的桥梁，</w:t>
      </w:r>
      <w:r>
        <w:rPr>
          <w:rFonts w:hint="eastAsia"/>
          <w:szCs w:val="21"/>
        </w:rPr>
        <w:t>包括</w:t>
      </w:r>
      <w:r>
        <w:rPr>
          <w:szCs w:val="21"/>
        </w:rPr>
        <w:t>钢桥横梁模块、挑梁模块、胯间模块</w:t>
      </w:r>
      <w:r>
        <w:rPr>
          <w:rFonts w:hint="eastAsia"/>
          <w:szCs w:val="21"/>
        </w:rPr>
        <w:t>、</w:t>
      </w:r>
      <w:r>
        <w:rPr>
          <w:szCs w:val="21"/>
        </w:rPr>
        <w:t>预制拼装的板、桥梁的中梁（板）和非标准边梁（梁板）等；</w:t>
      </w:r>
    </w:p>
    <w:p>
      <w:pPr>
        <w:spacing w:line="240" w:lineRule="auto"/>
        <w:ind w:firstLine="421" w:firstLineChars="200"/>
        <w:rPr>
          <w:b/>
          <w:bCs/>
          <w:szCs w:val="21"/>
        </w:rPr>
      </w:pPr>
      <w:r>
        <w:rPr>
          <w:rFonts w:hint="eastAsia"/>
          <w:b/>
          <w:bCs/>
          <w:szCs w:val="21"/>
        </w:rPr>
        <w:t>9</w:t>
      </w:r>
      <w:r>
        <w:rPr>
          <w:rFonts w:hint="eastAsia"/>
          <w:szCs w:val="21"/>
        </w:rPr>
        <w:t xml:space="preserve"> </w:t>
      </w:r>
      <w:r>
        <w:rPr>
          <w:szCs w:val="21"/>
        </w:rPr>
        <w:t xml:space="preserve"> </w:t>
      </w:r>
      <w:r>
        <w:rPr>
          <w:rFonts w:hint="eastAsia"/>
          <w:szCs w:val="21"/>
        </w:rPr>
        <w:t>遵循桥梁结构的可检性、可修性、可换性、可控性及可持续性，应充分考虑零件自身寿命，采用模块化设计技术对桥梁零部件包括支座、拉索等进行拆除及更换；</w:t>
      </w:r>
    </w:p>
    <w:p>
      <w:pPr>
        <w:spacing w:line="240" w:lineRule="auto"/>
        <w:ind w:firstLine="421" w:firstLineChars="200"/>
        <w:rPr>
          <w:b/>
          <w:bCs/>
          <w:szCs w:val="21"/>
        </w:rPr>
      </w:pPr>
      <w:r>
        <w:rPr>
          <w:rFonts w:hint="eastAsia"/>
          <w:b/>
          <w:bCs/>
          <w:szCs w:val="21"/>
        </w:rPr>
        <w:t>10</w:t>
      </w:r>
      <w:r>
        <w:rPr>
          <w:rFonts w:hint="eastAsia"/>
          <w:szCs w:val="21"/>
        </w:rPr>
        <w:t xml:space="preserve"> </w:t>
      </w:r>
      <w:r>
        <w:rPr>
          <w:szCs w:val="21"/>
        </w:rPr>
        <w:t xml:space="preserve"> </w:t>
      </w:r>
      <w:r>
        <w:rPr>
          <w:rFonts w:hint="eastAsia"/>
          <w:szCs w:val="21"/>
        </w:rPr>
        <w:t>改扩建项目应减少对既有桥梁的拆除，最大限度地利用既有道路资源。</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隧道</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w:t>
      </w:r>
      <w:bookmarkStart w:id="276" w:name="OLE_LINK58"/>
      <w:bookmarkStart w:id="277" w:name="OLE_LINK59"/>
      <w:r>
        <w:rPr>
          <w:rFonts w:hint="eastAsia"/>
          <w:bCs/>
          <w:szCs w:val="21"/>
        </w:rPr>
        <w:t>道路隧道设计标准</w:t>
      </w:r>
      <w:bookmarkEnd w:id="276"/>
      <w:bookmarkEnd w:id="277"/>
      <w:r>
        <w:rPr>
          <w:rFonts w:hint="eastAsia"/>
          <w:bCs/>
          <w:szCs w:val="21"/>
        </w:rPr>
        <w:t>》SJG 80的规定；</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道路隧道横断面设计在满足建筑限界条件下，应为通风、给排水、消防、供电照明、监控、通讯、内饰装修等配套附属设施和安全疏散设施提供安装空间，通过合理布置充分利用空间，预留结构变形、施工误差、路面调坡等余量；</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隧道开挖过程中产生的土石方和渣土应进行统一利用，在隧道主体工程与路面工程、绿化工程、房屋建设工程以及机电工程的一体化施工管理中进行协同配置和综合利用；</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在隧道横断面设计中，可考虑采用“分洞”、“单洞分孔”和“单洞同孔”的形式；</w:t>
      </w:r>
      <w:r>
        <w:rPr>
          <w:szCs w:val="21"/>
        </w:rPr>
        <w:t xml:space="preserve"> </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可</w:t>
      </w:r>
      <w:r>
        <w:rPr>
          <w:rFonts w:hint="eastAsia"/>
          <w:bCs/>
          <w:szCs w:val="21"/>
        </w:rPr>
        <w:t>通过自然采光井或光导管方式将自然光引入隧道内进行照明；</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隧道的通风设计，可考虑以下因素：</w:t>
      </w:r>
    </w:p>
    <w:p>
      <w:pPr>
        <w:spacing w:line="240" w:lineRule="auto"/>
        <w:ind w:firstLine="632" w:firstLineChars="300"/>
        <w:rPr>
          <w:rFonts w:cs="宋体"/>
          <w:szCs w:val="21"/>
        </w:rPr>
      </w:pPr>
      <w:r>
        <w:rPr>
          <w:rFonts w:hint="eastAsia" w:cs="宋体"/>
          <w:b/>
          <w:szCs w:val="21"/>
        </w:rPr>
        <w:t>1</w:t>
      </w:r>
      <w:r>
        <w:rPr>
          <w:rFonts w:hint="eastAsia" w:cs="宋体"/>
          <w:szCs w:val="21"/>
        </w:rPr>
        <w:t>）</w:t>
      </w:r>
      <w:r>
        <w:rPr>
          <w:rFonts w:hint="eastAsia"/>
          <w:szCs w:val="21"/>
        </w:rPr>
        <w:t>选用空气流通和通风系统，提供优质的空气和舒适的环境；</w:t>
      </w:r>
    </w:p>
    <w:p>
      <w:pPr>
        <w:spacing w:line="240" w:lineRule="auto"/>
        <w:ind w:firstLine="632" w:firstLineChars="300"/>
        <w:rPr>
          <w:rFonts w:cs="宋体"/>
          <w:szCs w:val="21"/>
        </w:rPr>
      </w:pPr>
      <w:r>
        <w:rPr>
          <w:rFonts w:cs="宋体"/>
          <w:b/>
          <w:szCs w:val="21"/>
        </w:rPr>
        <w:t>2</w:t>
      </w:r>
      <w:r>
        <w:rPr>
          <w:rFonts w:hint="eastAsia" w:cs="宋体"/>
          <w:szCs w:val="21"/>
        </w:rPr>
        <w:t>）</w:t>
      </w:r>
      <w:r>
        <w:rPr>
          <w:rFonts w:hint="eastAsia"/>
          <w:szCs w:val="21"/>
        </w:rPr>
        <w:t>采用自然通风的方式；</w:t>
      </w:r>
    </w:p>
    <w:p>
      <w:pPr>
        <w:spacing w:line="240" w:lineRule="auto"/>
        <w:ind w:firstLine="632" w:firstLineChars="300"/>
        <w:rPr>
          <w:szCs w:val="21"/>
        </w:rPr>
      </w:pPr>
      <w:r>
        <w:rPr>
          <w:rFonts w:hint="eastAsia" w:cs="宋体"/>
          <w:b/>
          <w:szCs w:val="21"/>
        </w:rPr>
        <w:t>3</w:t>
      </w:r>
      <w:r>
        <w:rPr>
          <w:rFonts w:hint="eastAsia" w:cs="宋体"/>
          <w:szCs w:val="21"/>
        </w:rPr>
        <w:t>）</w:t>
      </w:r>
      <w:r>
        <w:rPr>
          <w:rFonts w:hint="eastAsia"/>
          <w:szCs w:val="21"/>
        </w:rPr>
        <w:t>合理布置通风设备；</w:t>
      </w:r>
    </w:p>
    <w:p>
      <w:pPr>
        <w:spacing w:line="240" w:lineRule="auto"/>
        <w:ind w:firstLine="632" w:firstLineChars="300"/>
        <w:rPr>
          <w:szCs w:val="21"/>
        </w:rPr>
      </w:pPr>
      <w:r>
        <w:rPr>
          <w:rFonts w:hint="eastAsia" w:cs="宋体"/>
          <w:b/>
          <w:szCs w:val="21"/>
        </w:rPr>
        <w:t>4</w:t>
      </w:r>
      <w:r>
        <w:rPr>
          <w:rFonts w:hint="eastAsia" w:cs="宋体"/>
          <w:szCs w:val="21"/>
        </w:rPr>
        <w:t>）</w:t>
      </w:r>
      <w:r>
        <w:rPr>
          <w:rFonts w:hint="eastAsia"/>
          <w:szCs w:val="21"/>
        </w:rPr>
        <w:t>采用射流风机、动叶可调轴流风机，其选型和设计根据交通量进行计算和优选。</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应</w:t>
      </w:r>
      <w:r>
        <w:rPr>
          <w:rFonts w:hint="eastAsia"/>
          <w:bCs/>
          <w:szCs w:val="21"/>
        </w:rPr>
        <w:t>根据隧道内环境参数，自动无级调控隧道内射流风机转速，使供风量与隧道正常运营和防灾应急所需风量保持一致；</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当特长隧道的平均纵坡超过2.0%时，路线、隧道、通风设计三者需要相互协调，宜结合通风系统对隧道方案进行全寿命周期的综合经济技术比选；</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采用纵向通风方式时</w:t>
      </w:r>
      <w:r>
        <w:rPr>
          <w:rFonts w:hint="eastAsia"/>
          <w:szCs w:val="21"/>
        </w:rPr>
        <w:t>，单向交通且长度</w:t>
      </w:r>
      <m:oMath>
        <m:r>
          <m:rPr>
            <m:sty m:val="p"/>
          </m:rPr>
          <w:rPr>
            <w:rFonts w:hint="default" w:ascii="Cambria Math" w:hAnsi="Cambria Math"/>
            <w:szCs w:val="21"/>
          </w:rPr>
          <m:t>≤</m:t>
        </m:r>
      </m:oMath>
      <w:r>
        <w:rPr>
          <w:rFonts w:hint="eastAsia"/>
          <w:szCs w:val="21"/>
        </w:rPr>
        <w:t>5000m和双向交通且长度</w:t>
      </w:r>
      <m:oMath>
        <m:r>
          <m:rPr>
            <m:sty m:val="p"/>
          </m:rPr>
          <w:rPr>
            <w:rFonts w:hint="default" w:ascii="Cambria Math" w:hAnsi="Cambria Math"/>
            <w:szCs w:val="21"/>
          </w:rPr>
          <m:t>≤</m:t>
        </m:r>
      </m:oMath>
      <w:r>
        <w:rPr>
          <w:rFonts w:hint="eastAsia"/>
          <w:szCs w:val="21"/>
        </w:rPr>
        <w:t>3000m的隧道可采用全射流纵向通风方案；</w:t>
      </w:r>
    </w:p>
    <w:p>
      <w:pPr>
        <w:spacing w:line="240" w:lineRule="auto"/>
        <w:ind w:firstLine="421" w:firstLineChars="200"/>
        <w:rPr>
          <w:bCs/>
          <w:szCs w:val="21"/>
        </w:rPr>
      </w:pPr>
      <w:bookmarkStart w:id="278" w:name="OLE_LINK125"/>
      <w:r>
        <w:rPr>
          <w:rFonts w:hint="eastAsia"/>
          <w:b/>
          <w:bCs/>
          <w:szCs w:val="21"/>
        </w:rPr>
        <w:t>10</w:t>
      </w:r>
      <w:r>
        <w:rPr>
          <w:rFonts w:hint="eastAsia"/>
          <w:szCs w:val="21"/>
        </w:rPr>
        <w:t xml:space="preserve"> </w:t>
      </w:r>
      <w:r>
        <w:rPr>
          <w:szCs w:val="21"/>
        </w:rPr>
        <w:t xml:space="preserve"> </w:t>
      </w:r>
      <w:bookmarkEnd w:id="278"/>
      <w:r>
        <w:rPr>
          <w:rFonts w:hint="eastAsia"/>
          <w:bCs/>
          <w:szCs w:val="21"/>
        </w:rPr>
        <w:t>对于长度大于4000m的单项坡，可采用纵向通风方式的双洞单向交通隧道，经论证后可采用互补通风技术，用下坡隧道内富裕的新风量弥补上坡隧道内新风量的不足，使得两条隧道内的空气质量能够满足通风要求；</w:t>
      </w:r>
    </w:p>
    <w:p>
      <w:pPr>
        <w:spacing w:line="240" w:lineRule="auto"/>
        <w:ind w:firstLine="421" w:firstLineChars="200"/>
        <w:rPr>
          <w:szCs w:val="21"/>
        </w:rPr>
      </w:pPr>
      <w:r>
        <w:rPr>
          <w:rFonts w:hint="eastAsia"/>
          <w:b/>
          <w:bCs/>
          <w:szCs w:val="21"/>
        </w:rPr>
        <w:t>11</w:t>
      </w:r>
      <w:r>
        <w:rPr>
          <w:rFonts w:hint="eastAsia"/>
          <w:szCs w:val="21"/>
        </w:rPr>
        <w:t xml:space="preserve"> </w:t>
      </w:r>
      <w:r>
        <w:rPr>
          <w:szCs w:val="21"/>
        </w:rPr>
        <w:t xml:space="preserve"> </w:t>
      </w:r>
      <w:r>
        <w:rPr>
          <w:rFonts w:hint="eastAsia"/>
          <w:szCs w:val="21"/>
        </w:rPr>
        <w:t>隧道群（洞口纵向间距小于50m）可根据实际情况设置遮光棚，避免频繁光强突变，有利于照明节能；</w:t>
      </w:r>
    </w:p>
    <w:p>
      <w:pPr>
        <w:spacing w:line="240" w:lineRule="auto"/>
        <w:ind w:firstLine="421" w:firstLineChars="200"/>
        <w:rPr>
          <w:bCs/>
          <w:szCs w:val="21"/>
        </w:rPr>
      </w:pPr>
      <w:r>
        <w:rPr>
          <w:rFonts w:hint="eastAsia"/>
          <w:b/>
          <w:bCs/>
          <w:szCs w:val="21"/>
        </w:rPr>
        <w:t>12</w:t>
      </w:r>
      <w:r>
        <w:rPr>
          <w:rFonts w:hint="eastAsia"/>
          <w:szCs w:val="21"/>
        </w:rPr>
        <w:t xml:space="preserve"> </w:t>
      </w:r>
      <w:r>
        <w:rPr>
          <w:szCs w:val="21"/>
        </w:rPr>
        <w:t xml:space="preserve"> </w:t>
      </w:r>
      <w:r>
        <w:rPr>
          <w:rFonts w:hint="eastAsia"/>
          <w:bCs/>
          <w:szCs w:val="21"/>
        </w:rPr>
        <w:t>宜采用电光蓄能自发光应急诱导系统，通过在隧道拱顶、侧壁设置自发光反光构件，在有源光照射的情况下起到增光作用，增加隧道亮度，改善隧道亮度环境，增加辨识度；</w:t>
      </w:r>
    </w:p>
    <w:p>
      <w:pPr>
        <w:spacing w:line="240" w:lineRule="auto"/>
        <w:ind w:firstLine="421" w:firstLineChars="200"/>
        <w:rPr>
          <w:szCs w:val="21"/>
        </w:rPr>
      </w:pPr>
      <w:r>
        <w:rPr>
          <w:rFonts w:hint="eastAsia"/>
          <w:b/>
          <w:bCs/>
          <w:szCs w:val="21"/>
        </w:rPr>
        <w:t>13</w:t>
      </w:r>
      <w:r>
        <w:rPr>
          <w:rFonts w:hint="eastAsia"/>
          <w:szCs w:val="21"/>
        </w:rPr>
        <w:t xml:space="preserve"> </w:t>
      </w:r>
      <w:r>
        <w:rPr>
          <w:szCs w:val="21"/>
        </w:rPr>
        <w:t xml:space="preserve"> 应</w:t>
      </w:r>
      <w:r>
        <w:rPr>
          <w:rFonts w:hint="eastAsia"/>
          <w:szCs w:val="21"/>
        </w:rPr>
        <w:t>在隧道设计中结合智能交通管理系统；</w:t>
      </w:r>
    </w:p>
    <w:p>
      <w:pPr>
        <w:spacing w:line="240" w:lineRule="auto"/>
        <w:ind w:firstLine="421" w:firstLineChars="200"/>
        <w:rPr>
          <w:szCs w:val="21"/>
        </w:rPr>
      </w:pPr>
      <w:r>
        <w:rPr>
          <w:rFonts w:hint="eastAsia"/>
          <w:b/>
          <w:bCs/>
          <w:szCs w:val="21"/>
        </w:rPr>
        <w:t>14</w:t>
      </w:r>
      <w:r>
        <w:rPr>
          <w:rFonts w:hint="eastAsia"/>
          <w:szCs w:val="21"/>
        </w:rPr>
        <w:t xml:space="preserve"> </w:t>
      </w:r>
      <w:r>
        <w:rPr>
          <w:szCs w:val="21"/>
        </w:rPr>
        <w:t xml:space="preserve"> </w:t>
      </w:r>
      <w:r>
        <w:rPr>
          <w:rFonts w:hint="eastAsia"/>
          <w:szCs w:val="21"/>
        </w:rPr>
        <w:t>隧道施工宜选择电力驱动机械设备，实现对施工过程的精确控制和高度自动化；</w:t>
      </w:r>
    </w:p>
    <w:p>
      <w:pPr>
        <w:spacing w:line="240" w:lineRule="auto"/>
        <w:ind w:firstLine="421" w:firstLineChars="200"/>
        <w:rPr>
          <w:szCs w:val="21"/>
        </w:rPr>
      </w:pPr>
      <w:bookmarkStart w:id="279" w:name="OLE_LINK66"/>
      <w:r>
        <w:rPr>
          <w:rFonts w:hint="eastAsia"/>
          <w:b/>
          <w:bCs/>
          <w:szCs w:val="21"/>
        </w:rPr>
        <w:t>15</w:t>
      </w:r>
      <w:r>
        <w:rPr>
          <w:rFonts w:hint="eastAsia"/>
          <w:szCs w:val="21"/>
        </w:rPr>
        <w:t xml:space="preserve"> </w:t>
      </w:r>
      <w:r>
        <w:rPr>
          <w:szCs w:val="21"/>
        </w:rPr>
        <w:t xml:space="preserve"> </w:t>
      </w:r>
      <w:r>
        <w:rPr>
          <w:rFonts w:hint="eastAsia"/>
          <w:szCs w:val="21"/>
        </w:rPr>
        <w:t>隧道衬砌结构耐久性设计，应综合考虑以下因素：</w:t>
      </w:r>
    </w:p>
    <w:bookmarkEnd w:id="279"/>
    <w:p>
      <w:pPr>
        <w:spacing w:line="240" w:lineRule="auto"/>
        <w:ind w:firstLine="632" w:firstLineChars="300"/>
        <w:rPr>
          <w:rFonts w:cs="宋体"/>
          <w:szCs w:val="21"/>
        </w:rPr>
      </w:pPr>
      <w:r>
        <w:rPr>
          <w:rFonts w:hint="eastAsia" w:cs="宋体"/>
          <w:b/>
          <w:szCs w:val="21"/>
        </w:rPr>
        <w:t>1</w:t>
      </w:r>
      <w:r>
        <w:rPr>
          <w:rFonts w:hint="eastAsia" w:cs="宋体"/>
          <w:szCs w:val="21"/>
        </w:rPr>
        <w:t>）环境类别及作用等级；</w:t>
      </w:r>
    </w:p>
    <w:p>
      <w:pPr>
        <w:spacing w:line="240" w:lineRule="auto"/>
        <w:ind w:firstLine="632" w:firstLineChars="300"/>
        <w:rPr>
          <w:rFonts w:cs="宋体"/>
          <w:szCs w:val="21"/>
        </w:rPr>
      </w:pPr>
      <w:r>
        <w:rPr>
          <w:rFonts w:cs="宋体"/>
          <w:b/>
          <w:szCs w:val="21"/>
        </w:rPr>
        <w:t>2</w:t>
      </w:r>
      <w:r>
        <w:rPr>
          <w:rFonts w:hint="eastAsia" w:cs="宋体"/>
          <w:szCs w:val="21"/>
        </w:rPr>
        <w:t>）采用能够有效抵抗环境作用的结构形式、布置和构造；</w:t>
      </w:r>
    </w:p>
    <w:p>
      <w:pPr>
        <w:spacing w:line="240" w:lineRule="auto"/>
        <w:ind w:firstLine="632" w:firstLineChars="300"/>
        <w:rPr>
          <w:rFonts w:cs="宋体"/>
          <w:szCs w:val="21"/>
        </w:rPr>
      </w:pPr>
      <w:r>
        <w:rPr>
          <w:rFonts w:hint="eastAsia" w:cs="宋体"/>
          <w:b/>
          <w:szCs w:val="21"/>
        </w:rPr>
        <w:t>3</w:t>
      </w:r>
      <w:r>
        <w:rPr>
          <w:rFonts w:hint="eastAsia" w:cs="宋体"/>
          <w:szCs w:val="21"/>
        </w:rPr>
        <w:t>）防水、排水等构造措施；</w:t>
      </w:r>
    </w:p>
    <w:p>
      <w:pPr>
        <w:spacing w:line="240" w:lineRule="auto"/>
        <w:ind w:firstLine="632" w:firstLineChars="300"/>
        <w:rPr>
          <w:rFonts w:cs="宋体"/>
          <w:szCs w:val="21"/>
        </w:rPr>
      </w:pPr>
      <w:r>
        <w:rPr>
          <w:rFonts w:hint="eastAsia" w:cs="宋体"/>
          <w:b/>
          <w:szCs w:val="21"/>
        </w:rPr>
        <w:t>4</w:t>
      </w:r>
      <w:r>
        <w:rPr>
          <w:rFonts w:hint="eastAsia" w:cs="宋体"/>
          <w:szCs w:val="21"/>
        </w:rPr>
        <w:t>）严重侵蚀作用下合理采取防辐射附加措施或多重防护策略；</w:t>
      </w:r>
    </w:p>
    <w:p>
      <w:pPr>
        <w:spacing w:line="240" w:lineRule="auto"/>
        <w:ind w:firstLine="632" w:firstLineChars="300"/>
        <w:rPr>
          <w:rFonts w:cs="宋体"/>
          <w:szCs w:val="21"/>
        </w:rPr>
      </w:pPr>
      <w:r>
        <w:rPr>
          <w:rFonts w:hint="eastAsia" w:cs="宋体"/>
          <w:b/>
          <w:szCs w:val="21"/>
        </w:rPr>
        <w:t>5</w:t>
      </w:r>
      <w:r>
        <w:rPr>
          <w:rFonts w:hint="eastAsia" w:cs="宋体"/>
          <w:szCs w:val="21"/>
        </w:rPr>
        <w:t>）结晶等条件对排水系统的影响及对策；</w:t>
      </w:r>
    </w:p>
    <w:p>
      <w:pPr>
        <w:spacing w:line="240" w:lineRule="auto"/>
        <w:ind w:firstLine="632" w:firstLineChars="300"/>
        <w:rPr>
          <w:rFonts w:cs="宋体"/>
          <w:szCs w:val="21"/>
        </w:rPr>
      </w:pPr>
      <w:r>
        <w:rPr>
          <w:rFonts w:hint="eastAsia" w:cs="宋体"/>
          <w:b/>
          <w:szCs w:val="21"/>
        </w:rPr>
        <w:t>6</w:t>
      </w:r>
      <w:r>
        <w:rPr>
          <w:rFonts w:hint="eastAsia" w:cs="宋体"/>
          <w:szCs w:val="21"/>
        </w:rPr>
        <w:t>）耐久性所需的施工养护制度与保护层厚度的施工质量验收要求；</w:t>
      </w:r>
    </w:p>
    <w:p>
      <w:pPr>
        <w:spacing w:line="240" w:lineRule="auto"/>
        <w:ind w:firstLine="632" w:firstLineChars="300"/>
        <w:rPr>
          <w:rFonts w:cs="宋体"/>
          <w:szCs w:val="21"/>
        </w:rPr>
      </w:pPr>
      <w:r>
        <w:rPr>
          <w:rFonts w:hint="eastAsia" w:cs="宋体"/>
          <w:b/>
          <w:szCs w:val="21"/>
        </w:rPr>
        <w:t>7</w:t>
      </w:r>
      <w:r>
        <w:rPr>
          <w:rFonts w:hint="eastAsia" w:cs="宋体"/>
          <w:szCs w:val="21"/>
        </w:rPr>
        <w:t>）结构使用阶段的维护、修理和检测要求。</w:t>
      </w:r>
    </w:p>
    <w:p>
      <w:pPr>
        <w:spacing w:line="240" w:lineRule="auto"/>
        <w:ind w:firstLine="421" w:firstLineChars="200"/>
        <w:rPr>
          <w:rFonts w:cs="宋体"/>
          <w:szCs w:val="21"/>
        </w:rPr>
      </w:pPr>
      <w:r>
        <w:rPr>
          <w:rFonts w:hint="eastAsia"/>
          <w:b/>
          <w:bCs/>
          <w:szCs w:val="21"/>
        </w:rPr>
        <w:t>16</w:t>
      </w:r>
      <w:r>
        <w:rPr>
          <w:rFonts w:hint="eastAsia"/>
          <w:szCs w:val="21"/>
        </w:rPr>
        <w:t xml:space="preserve"> </w:t>
      </w:r>
      <w:r>
        <w:rPr>
          <w:szCs w:val="21"/>
        </w:rPr>
        <w:t xml:space="preserve"> 在隧道洞内，宜在隧道侧壁和拱墙设置完整的轮廓标，准确标出隧道轮廓，并照明异常时指明路线方向。</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绿化</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应符合《树种选择技术指引（深圳市城管局）》2016、《深圳经济特区绿化条例》2016和《城市道路绿化设计标准》CJJT 75等有关规定；</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应遵循因地制宜的思想，选择适应当地气候和土质条件、具有耐污染、抗逆性强、易生长、抗病虫害特性和耐粗放管理的绿化物种，提高绿化的生存率和景观效果，增强生态效益；</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应采用多层次、多种类的绿化设计，以常绿树种为主，树木、花草等合理配置为辅，形成一个相对稳定、功能完善的复合群落，增加绿化面积和景观吸引力；</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应</w:t>
      </w:r>
      <w:r>
        <w:rPr>
          <w:rFonts w:hint="eastAsia"/>
          <w:szCs w:val="21"/>
        </w:rPr>
        <w:t>合理规划绿化带宽度，通过优化道路布局和绿化设计，保留足够的空间供绿化以及行人和非机动车辆通行；</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道路绿化在满足空气净化要求的同时，应紧扣城市形象定位，结合地域文化打造具有亲近感和归属感的城市景观风貌；</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宜</w:t>
      </w:r>
      <w:r>
        <w:rPr>
          <w:rFonts w:hint="eastAsia"/>
          <w:szCs w:val="21"/>
        </w:rPr>
        <w:t>通过立体绿化的设计，提高空间利用率，最大限度地增加道路绿化覆盖率，使道路绿化发挥最大的生态效益</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8</w:t>
      </w:r>
      <w:r>
        <w:rPr>
          <w:rFonts w:hint="eastAsia"/>
          <w:szCs w:val="21"/>
        </w:rPr>
        <w:t xml:space="preserve"> </w:t>
      </w:r>
      <w:r>
        <w:rPr>
          <w:szCs w:val="21"/>
        </w:rPr>
        <w:t xml:space="preserve"> </w:t>
      </w:r>
      <w:r>
        <w:rPr>
          <w:rFonts w:hint="eastAsia"/>
          <w:szCs w:val="21"/>
        </w:rPr>
        <w:t>海绵型道路</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应符合《海绵型道路建设技术标准》SJG 66的规定，海绵型道路应在规划、设计、施工等建造全过程做好与海绵城市的衔接；</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海绵型道路的设计主体、建设主体、运营和管理主体宜遵循全寿命周期的低碳理念，使用低碳的材料、技术和设备；</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海绵型道路在设计过程中，应结合气候、土壤及土地利用、道路等级、道路断面等条件，选取透水铺装、生物滞留设施、渗透塘、湿塘、雨水湿地、植草沟、植被缓冲带等低影响开发技术和设施，最大限度地实现水资源重复利用；</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应采用</w:t>
      </w:r>
      <w:r>
        <w:rPr>
          <w:rFonts w:hint="eastAsia"/>
          <w:szCs w:val="21"/>
        </w:rPr>
        <w:t>“渗、滞、蓄、净、用、排”等措施对施工期间及道路工程竣工后的场地雨水进行有效统筹控制，溢流排放应与城市雨水排放系统衔接；</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可</w:t>
      </w:r>
      <w:r>
        <w:rPr>
          <w:rFonts w:hint="eastAsia"/>
          <w:szCs w:val="21"/>
        </w:rPr>
        <w:t>将自然途径和人工措施相结合，在确保城市排水防涝安全的前提下，实现雨水在城市区域的积存、渗透和净化，促进雨水资源的利用，缓解城市道路工程的生态压力；</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海绵型道路设计中可采用环保型雨水口，处理初期雨水，确保雨水质量达标；</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在屋顶坡度较小的道路工程管理中心、设备用房等地面附属建筑，可采用绿色屋顶，绿色屋顶的设计应符合《屋面工程技术规范》GB 50345的规定；</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再生水管网覆盖范围内的道路工程，应当推广使用再生水和雨水等非传统水源用于车辆冲洗、绿化浇水、道路冲洗和厕所冲洗用水等；</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r>
        <w:rPr>
          <w:rFonts w:hint="eastAsia"/>
          <w:szCs w:val="21"/>
        </w:rPr>
        <w:t>应充分综合考虑海绵型道路的碳汇和长期管理维护成本，确保海绵型道路在功能和景观上的经济性和持久性</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9</w:t>
      </w:r>
      <w:r>
        <w:rPr>
          <w:rFonts w:hint="eastAsia"/>
          <w:szCs w:val="21"/>
        </w:rPr>
        <w:t xml:space="preserve"> </w:t>
      </w:r>
      <w:r>
        <w:rPr>
          <w:szCs w:val="21"/>
        </w:rPr>
        <w:t xml:space="preserve"> </w:t>
      </w:r>
      <w:bookmarkStart w:id="280" w:name="OLE_LINK219"/>
      <w:bookmarkStart w:id="281" w:name="OLE_LINK218"/>
      <w:r>
        <w:rPr>
          <w:rFonts w:hint="eastAsia"/>
          <w:szCs w:val="21"/>
        </w:rPr>
        <w:t>数字设计</w:t>
      </w:r>
    </w:p>
    <w:bookmarkEnd w:id="280"/>
    <w:bookmarkEnd w:id="281"/>
    <w:p>
      <w:pPr>
        <w:spacing w:line="240" w:lineRule="auto"/>
        <w:ind w:firstLine="421" w:firstLineChars="200"/>
        <w:rPr>
          <w:szCs w:val="21"/>
        </w:rPr>
      </w:pPr>
      <w:r>
        <w:rPr>
          <w:b/>
          <w:bCs/>
          <w:szCs w:val="21"/>
        </w:rPr>
        <w:t>1</w:t>
      </w:r>
      <w:r>
        <w:rPr>
          <w:rFonts w:hint="eastAsia"/>
          <w:szCs w:val="21"/>
        </w:rPr>
        <w:t xml:space="preserve"> </w:t>
      </w:r>
      <w:r>
        <w:rPr>
          <w:szCs w:val="21"/>
        </w:rPr>
        <w:t xml:space="preserve"> </w:t>
      </w:r>
      <w:r>
        <w:rPr>
          <w:rFonts w:hint="eastAsia"/>
          <w:szCs w:val="21"/>
        </w:rPr>
        <w:t>可</w:t>
      </w:r>
      <w:r>
        <w:rPr>
          <w:szCs w:val="21"/>
        </w:rPr>
        <w:t>将BIM技术用于场地仿真分析、方案比选、碰撞检查、模型出图、工程量统计等典型场景，辅助设计方案可行性验证，输出设计方案模型及视频动画等</w:t>
      </w:r>
      <w:r>
        <w:rPr>
          <w:rFonts w:hint="eastAsia"/>
          <w:szCs w:val="21"/>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可采用BIM正向设计，</w:t>
      </w:r>
      <w:r>
        <w:rPr>
          <w:rFonts w:hint="eastAsia"/>
          <w:szCs w:val="21"/>
        </w:rPr>
        <w:t>优化设计流程，支撑不同专业间及设计与生产、施工的数据交换和信息共享；</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可</w:t>
      </w:r>
      <w:r>
        <w:rPr>
          <w:rFonts w:hint="eastAsia"/>
          <w:bCs/>
          <w:szCs w:val="21"/>
        </w:rPr>
        <w:t>利用BIM对道路工程的设计方案进行综合评估，包括可行性研究、材料选择、施工工艺等方面；</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可</w:t>
      </w:r>
      <w:r>
        <w:rPr>
          <w:rFonts w:hint="eastAsia"/>
          <w:szCs w:val="21"/>
        </w:rPr>
        <w:t>构建BIM标准体系，打造出协同设计云平台，支持工程全路段三维设计，建成道路工程全要素信息模型，实现面向施工的数字化交付；</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可</w:t>
      </w:r>
      <w:r>
        <w:rPr>
          <w:szCs w:val="21"/>
        </w:rPr>
        <w:t>利用BIM</w:t>
      </w:r>
      <w:r>
        <w:rPr>
          <w:rFonts w:hint="eastAsia"/>
          <w:szCs w:val="21"/>
        </w:rPr>
        <w:t>构建智慧工地信息系统，创建智慧梁厂、智慧检测、智慧施工等数字场景，实现面向管理的数据实时感知与传递；</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可</w:t>
      </w:r>
      <w:r>
        <w:rPr>
          <w:rFonts w:hint="eastAsia"/>
          <w:bCs/>
          <w:szCs w:val="21"/>
        </w:rPr>
        <w:t>利用BIM能耗模拟工具，分析道路工程设计过程中的能耗和碳排放情况，优化设计参数，选取更可持续的设计方案；</w:t>
      </w:r>
    </w:p>
    <w:p>
      <w:pPr>
        <w:spacing w:line="240" w:lineRule="auto"/>
        <w:ind w:firstLine="421" w:firstLineChars="200"/>
      </w:pPr>
      <w:r>
        <w:rPr>
          <w:rFonts w:hint="eastAsia"/>
          <w:b/>
          <w:bCs/>
          <w:szCs w:val="21"/>
        </w:rPr>
        <w:t>7</w:t>
      </w:r>
      <w:r>
        <w:rPr>
          <w:rFonts w:hint="eastAsia"/>
          <w:szCs w:val="21"/>
        </w:rPr>
        <w:t xml:space="preserve"> </w:t>
      </w:r>
      <w:r>
        <w:rPr>
          <w:szCs w:val="21"/>
        </w:rPr>
        <w:t xml:space="preserve"> 应</w:t>
      </w:r>
      <w:r>
        <w:rPr>
          <w:rFonts w:hint="eastAsia"/>
          <w:szCs w:val="21"/>
        </w:rPr>
        <w:t>在设计中积累可重复利用及标准化部品构件，丰富和完善BIM构件库资源。</w:t>
      </w:r>
    </w:p>
    <w:bookmarkEnd w:id="230"/>
    <w:bookmarkEnd w:id="231"/>
    <w:bookmarkEnd w:id="232"/>
    <w:bookmarkEnd w:id="233"/>
    <w:p>
      <w:pPr>
        <w:pStyle w:val="4"/>
        <w:spacing w:before="240" w:after="240" w:line="240" w:lineRule="auto"/>
        <w:jc w:val="center"/>
        <w:rPr>
          <w:rFonts w:ascii="黑体" w:hAnsi="黑体" w:eastAsia="黑体"/>
          <w:b w:val="0"/>
          <w:sz w:val="21"/>
          <w:szCs w:val="21"/>
        </w:rPr>
      </w:pPr>
      <w:bookmarkStart w:id="282" w:name="_Toc160030996"/>
      <w:bookmarkStart w:id="283" w:name="_Toc160030734"/>
      <w:bookmarkStart w:id="284" w:name="_Toc161134678"/>
      <w:bookmarkStart w:id="285" w:name="_Toc160032821"/>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4</w:t>
      </w:r>
      <w:r>
        <w:rPr>
          <w:rFonts w:hint="eastAsia" w:ascii="黑体" w:hAnsi="黑体"/>
          <w:b w:val="0"/>
          <w:sz w:val="21"/>
          <w:szCs w:val="21"/>
        </w:rPr>
        <w:t xml:space="preserve">  </w:t>
      </w:r>
      <w:r>
        <w:rPr>
          <w:rFonts w:hint="eastAsia" w:ascii="黑体" w:hAnsi="黑体" w:eastAsia="黑体"/>
          <w:b w:val="0"/>
          <w:sz w:val="21"/>
          <w:szCs w:val="21"/>
        </w:rPr>
        <w:t>施工阶段</w:t>
      </w:r>
      <w:bookmarkEnd w:id="282"/>
      <w:bookmarkEnd w:id="283"/>
      <w:bookmarkEnd w:id="284"/>
      <w:bookmarkEnd w:id="285"/>
      <w:r>
        <w:rPr>
          <w:rFonts w:hint="eastAsia" w:ascii="黑体" w:hAnsi="黑体" w:eastAsia="黑体"/>
          <w:b w:val="0"/>
          <w:sz w:val="21"/>
          <w:szCs w:val="21"/>
        </w:rPr>
        <w:t>低碳设计要求</w:t>
      </w:r>
    </w:p>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材料选择和循环利用对策，应考虑以下因素：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选择可再生资源和低碳材料；</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选用符合环保标准的材料；</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推广循环经济模式，选择建筑垃圾再生材料；</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从节能、低碳的角度选择材料；</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采用再生材料建设临时设施；</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采用永临结合技术，并充分利用既有市政设施和周边道路；</w:t>
      </w:r>
    </w:p>
    <w:p>
      <w:pPr>
        <w:spacing w:line="240" w:lineRule="auto"/>
        <w:ind w:firstLine="421" w:firstLineChars="200"/>
        <w:rPr>
          <w:szCs w:val="21"/>
        </w:rPr>
      </w:pPr>
      <w:r>
        <w:rPr>
          <w:rFonts w:hint="eastAsia"/>
          <w:b/>
          <w:bCs/>
          <w:szCs w:val="21"/>
        </w:rPr>
        <w:t>7</w:t>
      </w:r>
      <w:r>
        <w:rPr>
          <w:rFonts w:hint="eastAsia"/>
          <w:szCs w:val="21"/>
        </w:rPr>
        <w:t xml:space="preserve"> </w:t>
      </w:r>
      <w:r>
        <w:rPr>
          <w:szCs w:val="21"/>
        </w:rPr>
        <w:t xml:space="preserve"> </w:t>
      </w:r>
      <w:r>
        <w:rPr>
          <w:rFonts w:hint="eastAsia"/>
          <w:szCs w:val="21"/>
        </w:rPr>
        <w:t>钢筋连接采用对接、机械等低损耗连接方式，钢筋工厂化加工和集中配送；</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采用高周转率的新型模架体系；</w:t>
      </w:r>
    </w:p>
    <w:p>
      <w:pPr>
        <w:spacing w:line="240" w:lineRule="auto"/>
        <w:ind w:firstLine="421" w:firstLineChars="200"/>
        <w:rPr>
          <w:szCs w:val="21"/>
        </w:rPr>
      </w:pPr>
      <w:r>
        <w:rPr>
          <w:rFonts w:hint="eastAsia"/>
          <w:b/>
          <w:bCs/>
          <w:szCs w:val="21"/>
        </w:rPr>
        <w:t>9</w:t>
      </w:r>
      <w:r>
        <w:rPr>
          <w:rFonts w:hint="eastAsia"/>
          <w:szCs w:val="21"/>
        </w:rPr>
        <w:t xml:space="preserve"> </w:t>
      </w:r>
      <w:r>
        <w:rPr>
          <w:szCs w:val="21"/>
        </w:rPr>
        <w:t xml:space="preserve"> </w:t>
      </w:r>
      <w:bookmarkStart w:id="286" w:name="_Hlk170684359"/>
      <w:r>
        <w:rPr>
          <w:rFonts w:hint="eastAsia"/>
          <w:szCs w:val="21"/>
        </w:rPr>
        <w:t>利用BIM技术预先总体排版，合理选材</w:t>
      </w:r>
      <w:bookmarkEnd w:id="286"/>
      <w:r>
        <w:rPr>
          <w:rFonts w:hint="eastAsia"/>
          <w:szCs w:val="21"/>
        </w:rPr>
        <w:t>。</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w:t>
      </w:r>
      <w:r>
        <w:rPr>
          <w:rFonts w:hint="eastAsia"/>
          <w:szCs w:val="21"/>
        </w:rPr>
        <w:t>利用物联网</w:t>
      </w:r>
      <w:bookmarkStart w:id="287" w:name="OLE_LINK29"/>
      <w:r>
        <w:rPr>
          <w:rFonts w:hint="eastAsia"/>
          <w:szCs w:val="21"/>
        </w:rPr>
        <w:t>、智能监控技术</w:t>
      </w:r>
      <w:bookmarkEnd w:id="287"/>
      <w:r>
        <w:rPr>
          <w:rFonts w:hint="eastAsia"/>
          <w:szCs w:val="21"/>
        </w:rPr>
        <w:t>管控物资。</w:t>
      </w:r>
    </w:p>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低碳技术、设备应用对策，应考虑以下因素：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优先选择低能耗、高效率的施工机械设备；</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推广先进的施工工艺和工法；</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bookmarkStart w:id="288" w:name="OLE_LINK246"/>
      <w:bookmarkStart w:id="289" w:name="OLE_LINK247"/>
      <w:r>
        <w:rPr>
          <w:rFonts w:hint="eastAsia"/>
          <w:bCs/>
          <w:szCs w:val="21"/>
        </w:rPr>
        <w:t>利用信息化手段进行预制下料排版及虚拟装配，提升原材料整材利用率；</w:t>
      </w:r>
    </w:p>
    <w:bookmarkEnd w:id="288"/>
    <w:bookmarkEnd w:id="289"/>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使用可再生能源，包括采用太阳能照明和供电；</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办公区和生活区节能照明灯具配置率达到100%；</w:t>
      </w:r>
    </w:p>
    <w:p>
      <w:pPr>
        <w:spacing w:line="240" w:lineRule="auto"/>
        <w:ind w:firstLine="421" w:firstLineChars="200"/>
        <w:rPr>
          <w:bCs/>
          <w:szCs w:val="21"/>
        </w:rPr>
      </w:pPr>
      <w:r>
        <w:rPr>
          <w:rFonts w:hint="eastAsia"/>
          <w:b/>
          <w:bCs/>
          <w:szCs w:val="21"/>
        </w:rPr>
        <w:t>6</w:t>
      </w:r>
      <w:r>
        <w:rPr>
          <w:rFonts w:hint="eastAsia"/>
          <w:szCs w:val="21"/>
        </w:rPr>
        <w:t xml:space="preserve"> </w:t>
      </w:r>
      <w:bookmarkStart w:id="290" w:name="_Hlk170684256"/>
      <w:r>
        <w:rPr>
          <w:szCs w:val="21"/>
        </w:rPr>
        <w:t xml:space="preserve"> </w:t>
      </w:r>
      <w:r>
        <w:rPr>
          <w:rFonts w:hint="eastAsia"/>
          <w:bCs/>
          <w:szCs w:val="21"/>
        </w:rPr>
        <w:t>无直接采光的施工通道和施工区域照明采用声控、光控、延时控制方式。</w:t>
      </w:r>
      <w:bookmarkEnd w:id="290"/>
    </w:p>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碳排放监测和管理对策，应考虑以下因素：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建立施工现场的碳排放监测系统，监测和记录能源消耗、机械设备性能、材料消耗情况；</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bCs/>
          <w:szCs w:val="21"/>
        </w:rPr>
        <w:t>建立碳排放核算和管理制度，</w:t>
      </w:r>
      <w:r>
        <w:rPr>
          <w:rFonts w:hint="eastAsia"/>
          <w:szCs w:val="21"/>
        </w:rPr>
        <w:t>建立健全施工阶段碳排放</w:t>
      </w:r>
      <w:r>
        <w:rPr>
          <w:rFonts w:hint="eastAsia"/>
          <w:bCs/>
          <w:szCs w:val="21"/>
        </w:rPr>
        <w:t>评估和</w:t>
      </w:r>
      <w:r>
        <w:rPr>
          <w:rFonts w:hint="eastAsia"/>
          <w:szCs w:val="21"/>
        </w:rPr>
        <w:t>管理机制；</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通过合理规划施工流程和运输安排，优化能源使用效率；</w:t>
      </w:r>
    </w:p>
    <w:p>
      <w:pPr>
        <w:tabs>
          <w:tab w:val="left" w:pos="8191"/>
        </w:tabs>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对道路工程成品采取保护措施；</w:t>
      </w:r>
      <w:r>
        <w:rPr>
          <w:bCs/>
          <w:szCs w:val="21"/>
        </w:rPr>
        <w:tab/>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单位工程单位长度的用电量、用水量宜比定额节约10%以上。</w:t>
      </w:r>
    </w:p>
    <w:p>
      <w:pPr>
        <w:spacing w:line="240" w:lineRule="auto"/>
        <w:rPr>
          <w:szCs w:val="21"/>
        </w:rPr>
      </w:pPr>
      <w:bookmarkStart w:id="291" w:name="OLE_LINK33"/>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材料和设备运输管理对策，应考虑以下因素：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合理安排物资采购、运输计划，全面加强采购、运输、施工、安装的过程管理；</w:t>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合理安排和利用车辆的装载空间，提高装载率，减少空驶和车辆的重复运输；</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建立绿色供应链体系，选用环保低碳的运输方式；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合理布置施工总平面图，避免现场二次搬运；</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结合建设方案、工期、地形等特点，灵活规划施工场站场址，充分考虑施工运输的便利性。</w:t>
      </w:r>
    </w:p>
    <w:bookmarkEnd w:id="291"/>
    <w:p>
      <w:pPr>
        <w:spacing w:line="240" w:lineRule="auto"/>
        <w:rPr>
          <w:szCs w:val="21"/>
        </w:rPr>
      </w:pPr>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环境保护与生态恢复对策，应考虑以下因素：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施工前进行详细的环境影响评估，并制定相应的环境管理计划；</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严格控制施工现场的废水排放，采取相应的处理措施来防止污染水源；</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施工涉及湿地区域时，及时保护和修复生态湿地；</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制订水上和水下机械作业方案，并采取安全和防污染措施；</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工程施工完成后，进行地貌和植被复原。</w:t>
      </w:r>
    </w:p>
    <w:p>
      <w:pPr>
        <w:spacing w:line="240" w:lineRule="auto"/>
        <w:rPr>
          <w:szCs w:val="21"/>
        </w:rPr>
      </w:pPr>
      <w:bookmarkStart w:id="292" w:name="_Toc160032822"/>
      <w:bookmarkStart w:id="293" w:name="_Toc160030735"/>
      <w:bookmarkStart w:id="294" w:name="_Toc160030997"/>
      <w:bookmarkStart w:id="295" w:name="_Toc161134679"/>
      <w:r>
        <w:rPr>
          <w:rFonts w:hint="eastAsia"/>
          <w:b/>
          <w:bCs/>
          <w:szCs w:val="21"/>
        </w:rPr>
        <w:t>7</w:t>
      </w:r>
      <w:r>
        <w:rPr>
          <w:rFonts w:ascii="宋体" w:hAnsi="宋体"/>
          <w:b/>
          <w:bCs/>
          <w:szCs w:val="21"/>
        </w:rPr>
        <w:t>.</w:t>
      </w:r>
      <w:r>
        <w:rPr>
          <w:rFonts w:hint="eastAsia"/>
          <w:b/>
          <w:bCs/>
          <w:szCs w:val="21"/>
        </w:rPr>
        <w:t>4</w:t>
      </w:r>
      <w:r>
        <w:rPr>
          <w:rFonts w:ascii="宋体" w:hAnsi="宋体"/>
          <w:b/>
          <w:bCs/>
          <w:szCs w:val="21"/>
        </w:rPr>
        <w:t>.</w:t>
      </w:r>
      <w:r>
        <w:rPr>
          <w:rFonts w:hint="eastAsia"/>
          <w:b/>
          <w:bCs/>
          <w:szCs w:val="21"/>
        </w:rPr>
        <w:t>6</w:t>
      </w:r>
      <w:r>
        <w:rPr>
          <w:rFonts w:hint="eastAsia"/>
          <w:szCs w:val="21"/>
        </w:rPr>
        <w:t xml:space="preserve"> </w:t>
      </w:r>
      <w:r>
        <w:rPr>
          <w:szCs w:val="21"/>
        </w:rPr>
        <w:t xml:space="preserve"> 施工</w:t>
      </w:r>
      <w:r>
        <w:rPr>
          <w:rFonts w:hint="eastAsia"/>
          <w:szCs w:val="21"/>
        </w:rPr>
        <w:t>永临结合对策，应考虑以下因素：</w:t>
      </w:r>
    </w:p>
    <w:p>
      <w:pPr>
        <w:spacing w:line="240" w:lineRule="auto"/>
        <w:ind w:firstLine="421" w:firstLineChars="200"/>
        <w:rPr>
          <w:szCs w:val="21"/>
        </w:rPr>
      </w:pPr>
      <w:r>
        <w:rPr>
          <w:b/>
          <w:bCs/>
          <w:szCs w:val="21"/>
        </w:rPr>
        <w:t>1</w:t>
      </w:r>
      <w:r>
        <w:rPr>
          <w:rFonts w:hint="eastAsia"/>
          <w:szCs w:val="21"/>
        </w:rPr>
        <w:t xml:space="preserve"> </w:t>
      </w:r>
      <w:r>
        <w:rPr>
          <w:szCs w:val="21"/>
        </w:rPr>
        <w:t xml:space="preserve"> 临时施工场站、施工便道、便桥、施工用电、用水临建工程与永久性工程结合</w:t>
      </w:r>
      <w:r>
        <w:rPr>
          <w:rFonts w:hint="eastAsia"/>
          <w:bCs/>
          <w:szCs w:val="21"/>
        </w:rPr>
        <w:t>，</w:t>
      </w:r>
      <w:r>
        <w:rPr>
          <w:szCs w:val="21"/>
        </w:rPr>
        <w:t>临时支挡防护、排水措施与设计方案结合</w:t>
      </w:r>
      <w:r>
        <w:rPr>
          <w:rFonts w:hint="eastAsia"/>
          <w:szCs w:val="21"/>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施工便道修建与当地的路网规划和交通出行结合，利用已有道路作为施工便道</w:t>
      </w:r>
      <w:r>
        <w:rPr>
          <w:rFonts w:hint="eastAsia"/>
          <w:szCs w:val="21"/>
        </w:rPr>
        <w:t>；</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施工办公区、生活区租赁沿线质量可靠、安全合格的房屋，减少临建用地</w:t>
      </w:r>
      <w:r>
        <w:rPr>
          <w:rFonts w:hint="eastAsia"/>
          <w:szCs w:val="21"/>
        </w:rPr>
        <w:t>；</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与地方电力部门合作建设施工电网，施工结束后转为当地民用</w:t>
      </w:r>
      <w:r>
        <w:rPr>
          <w:rFonts w:hint="eastAsia"/>
          <w:szCs w:val="21"/>
        </w:rPr>
        <w:t>，施工</w:t>
      </w:r>
      <w:r>
        <w:rPr>
          <w:szCs w:val="21"/>
        </w:rPr>
        <w:t>用电与隧道机电设施的永久用电合并建设</w:t>
      </w:r>
      <w:r>
        <w:rPr>
          <w:rFonts w:hint="eastAsia"/>
          <w:szCs w:val="21"/>
        </w:rPr>
        <w:t>；</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隧道供配电应统筹规划，按施工和运营期永临结合的方式、一次设计分期实施的原则，实现供电一次接入、永久使用；</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临建设施采用工厂预制、现场装配的可拆卸、可循环使用的构件和材料。</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5</w:t>
      </w:r>
      <w:r>
        <w:rPr>
          <w:rFonts w:hint="eastAsia" w:ascii="黑体" w:hAnsi="黑体"/>
          <w:b w:val="0"/>
          <w:sz w:val="21"/>
          <w:szCs w:val="21"/>
        </w:rPr>
        <w:t xml:space="preserve">  </w:t>
      </w:r>
      <w:r>
        <w:rPr>
          <w:rFonts w:hint="eastAsia" w:ascii="黑体" w:hAnsi="黑体" w:eastAsia="黑体"/>
          <w:b w:val="0"/>
          <w:sz w:val="21"/>
          <w:szCs w:val="21"/>
        </w:rPr>
        <w:t>运营维护阶段</w:t>
      </w:r>
      <w:bookmarkEnd w:id="292"/>
      <w:bookmarkEnd w:id="293"/>
      <w:bookmarkEnd w:id="294"/>
      <w:bookmarkEnd w:id="295"/>
      <w:r>
        <w:rPr>
          <w:rFonts w:hint="eastAsia" w:ascii="黑体" w:hAnsi="黑体" w:eastAsia="黑体"/>
          <w:b w:val="0"/>
          <w:sz w:val="21"/>
          <w:szCs w:val="21"/>
        </w:rPr>
        <w:t>低碳设计要求</w:t>
      </w:r>
    </w:p>
    <w:p>
      <w:pPr>
        <w:spacing w:line="240" w:lineRule="auto"/>
        <w:rPr>
          <w:szCs w:val="21"/>
        </w:rPr>
      </w:pPr>
      <w:r>
        <w:rPr>
          <w:rFonts w:hint="eastAsia"/>
          <w:b/>
          <w:bCs/>
          <w:szCs w:val="21"/>
        </w:rPr>
        <w:t>7</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交通运输系统对策，可考虑以下因素：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建立全面的数据采集和管理系统，包括交通量、车辆类型、能源消耗数据；</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建立完善的交通运输系统碳排放监测网络，布置监测点和传感器，确保数据的传输及时处理；</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制定科学的交通运输碳排放监测监管标准和指标；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支持清洁能源车辆的基础设施建设</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设施维护对策，可考虑以下因素：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采用绿色建设材料进行设施维护；</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bookmarkStart w:id="296" w:name="OLE_LINK248"/>
      <w:r>
        <w:rPr>
          <w:rFonts w:hint="eastAsia"/>
          <w:szCs w:val="21"/>
        </w:rPr>
        <w:t>实施土壤强化措施，减少土壤侵蚀和水源污染，加强水土保持工作；</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合理规划设施维护工作，鼓励采用低碳、高效的施工技术和设备；</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使用清洁能源驱动的施工机械；</w:t>
      </w:r>
    </w:p>
    <w:bookmarkEnd w:id="296"/>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合理规划交通组织与管理，减少设施维护作业对正常交通的干扰；</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保持设施维护作业的连续性，避免施工中断或过长工期</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5</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设备维护对策，可考虑以下因素：</w:t>
      </w:r>
      <w:r>
        <w:rPr>
          <w:szCs w:val="21"/>
        </w:rPr>
        <w:t xml:space="preserve"> </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优化通风、照明等系统运行，采用高效、低能耗的设备和控制技术；</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利用太阳能技术为设备供电，减少对传统能源的依赖；</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建立定期检修和设备维护计划，确保设备正常运行；</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w:t>
      </w:r>
      <w:r>
        <w:rPr>
          <w:rFonts w:hint="eastAsia"/>
          <w:bCs/>
          <w:szCs w:val="21"/>
        </w:rPr>
        <w:t>使用智能监测和控制系统实时监测设备性能，提高能源利用效率；</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w:t>
      </w:r>
      <w:r>
        <w:rPr>
          <w:rFonts w:hint="eastAsia"/>
          <w:szCs w:val="21"/>
        </w:rPr>
        <w:t>维护监控、通信和供配电设备的散热结构，确保系统正常工作；</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w:t>
      </w:r>
      <w:r>
        <w:rPr>
          <w:rFonts w:hint="eastAsia"/>
          <w:bCs/>
          <w:szCs w:val="21"/>
        </w:rPr>
        <w:t>使用智能巡检机器人等实时监测和处理设备运行存在的问题。</w:t>
      </w:r>
    </w:p>
    <w:p>
      <w:pPr>
        <w:pStyle w:val="4"/>
        <w:spacing w:before="240" w:after="240" w:line="240" w:lineRule="auto"/>
        <w:jc w:val="center"/>
        <w:rPr>
          <w:rFonts w:ascii="黑体" w:hAnsi="黑体" w:eastAsia="黑体"/>
          <w:b w:val="0"/>
          <w:sz w:val="21"/>
          <w:szCs w:val="21"/>
        </w:rPr>
      </w:pPr>
      <w:bookmarkStart w:id="297" w:name="_Toc160030998"/>
      <w:bookmarkStart w:id="298" w:name="_Toc161134680"/>
      <w:bookmarkStart w:id="299" w:name="_Toc160032823"/>
      <w:bookmarkStart w:id="300" w:name="_Toc160030736"/>
      <w:r>
        <w:rPr>
          <w:rFonts w:hint="eastAsia" w:ascii="Times New Roman" w:hAnsi="Times New Roman"/>
          <w:sz w:val="21"/>
          <w:szCs w:val="21"/>
        </w:rPr>
        <w:t>7</w:t>
      </w:r>
      <w:r>
        <w:rPr>
          <w:rFonts w:hint="eastAsia" w:ascii="宋体" w:hAnsi="宋体" w:eastAsia="宋体"/>
          <w:sz w:val="21"/>
          <w:szCs w:val="21"/>
        </w:rPr>
        <w:t>.</w:t>
      </w:r>
      <w:r>
        <w:rPr>
          <w:rFonts w:hint="eastAsia" w:ascii="Times New Roman" w:hAnsi="Times New Roman"/>
          <w:sz w:val="21"/>
          <w:szCs w:val="21"/>
        </w:rPr>
        <w:t>6</w:t>
      </w:r>
      <w:r>
        <w:rPr>
          <w:rFonts w:hint="eastAsia" w:ascii="黑体" w:hAnsi="黑体"/>
          <w:b w:val="0"/>
          <w:sz w:val="21"/>
          <w:szCs w:val="21"/>
        </w:rPr>
        <w:t xml:space="preserve">  </w:t>
      </w:r>
      <w:r>
        <w:rPr>
          <w:rFonts w:hint="eastAsia" w:ascii="黑体" w:hAnsi="黑体" w:eastAsia="黑体"/>
          <w:b w:val="0"/>
          <w:sz w:val="21"/>
          <w:szCs w:val="21"/>
        </w:rPr>
        <w:t>全过程低碳管理</w:t>
      </w:r>
      <w:bookmarkEnd w:id="297"/>
      <w:bookmarkEnd w:id="298"/>
      <w:bookmarkEnd w:id="299"/>
      <w:bookmarkEnd w:id="300"/>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低碳目标管理，应考虑以下因素：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制定明确的道路工程低碳目标，建立全面的碳排放监测、报告和核查体系，并制定碳排放管理计划</w:t>
      </w:r>
      <w:r>
        <w:rPr>
          <w:rFonts w:hint="eastAsia"/>
          <w:bCs/>
          <w:szCs w:val="21"/>
        </w:rPr>
        <w:t>；</w:t>
      </w:r>
    </w:p>
    <w:p>
      <w:pPr>
        <w:spacing w:line="240" w:lineRule="auto"/>
        <w:ind w:firstLine="421" w:firstLineChars="200"/>
        <w:rPr>
          <w:szCs w:val="21"/>
        </w:rPr>
      </w:pPr>
      <w:r>
        <w:rPr>
          <w:b/>
          <w:bCs/>
          <w:szCs w:val="21"/>
        </w:rPr>
        <w:t>2</w:t>
      </w:r>
      <w:r>
        <w:rPr>
          <w:rFonts w:hint="eastAsia"/>
          <w:szCs w:val="21"/>
        </w:rPr>
        <w:t xml:space="preserve"> </w:t>
      </w:r>
      <w:r>
        <w:rPr>
          <w:szCs w:val="21"/>
        </w:rPr>
        <w:t xml:space="preserve"> 设定具体的能源效率提升目标，采用高效节能的设备和技术，优化施工工艺，</w:t>
      </w:r>
      <w:r>
        <w:rPr>
          <w:rFonts w:hint="eastAsia"/>
          <w:szCs w:val="21"/>
        </w:rPr>
        <w:t>改进管理方式，</w:t>
      </w:r>
      <w:r>
        <w:rPr>
          <w:szCs w:val="21"/>
        </w:rPr>
        <w:t>并实施能源管理体系；</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制定可再生能源在总能源消耗中的占比目标，包括提高太阳能、风能等可再生能源的使用比例</w:t>
      </w:r>
      <w:r>
        <w:rPr>
          <w:rFonts w:hint="eastAsia"/>
          <w:bCs/>
          <w:szCs w:val="21"/>
        </w:rPr>
        <w:t>；</w:t>
      </w:r>
    </w:p>
    <w:p>
      <w:pPr>
        <w:spacing w:line="240" w:lineRule="auto"/>
        <w:ind w:firstLine="421" w:firstLineChars="200"/>
        <w:rPr>
          <w:bCs/>
          <w:szCs w:val="21"/>
        </w:rPr>
      </w:pPr>
      <w:r>
        <w:rPr>
          <w:rFonts w:hint="eastAsia"/>
          <w:b/>
          <w:bCs/>
          <w:szCs w:val="21"/>
        </w:rPr>
        <w:t>4</w:t>
      </w:r>
      <w:r>
        <w:rPr>
          <w:rFonts w:hint="eastAsia"/>
          <w:szCs w:val="21"/>
        </w:rPr>
        <w:t xml:space="preserve"> </w:t>
      </w:r>
      <w:r>
        <w:rPr>
          <w:szCs w:val="21"/>
        </w:rPr>
        <w:t xml:space="preserve"> 明确绿色建材选用依据、总体技术性能指标，确定绿色建材的</w:t>
      </w:r>
      <w:r>
        <w:rPr>
          <w:rFonts w:hint="eastAsia"/>
          <w:szCs w:val="21"/>
        </w:rPr>
        <w:t>使用</w:t>
      </w:r>
      <w:r>
        <w:rPr>
          <w:szCs w:val="21"/>
        </w:rPr>
        <w:t>率；</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明确建筑垃圾</w:t>
      </w:r>
      <w:r>
        <w:rPr>
          <w:rFonts w:hint="eastAsia"/>
          <w:szCs w:val="21"/>
        </w:rPr>
        <w:t>的</w:t>
      </w:r>
      <w:r>
        <w:rPr>
          <w:szCs w:val="21"/>
        </w:rPr>
        <w:t>排放量和回收利用率目标，建立相应的回收和再利用体系，制定可再生资源的专项方案</w:t>
      </w:r>
      <w:r>
        <w:rPr>
          <w:rFonts w:hint="eastAsia"/>
          <w:szCs w:val="21"/>
        </w:rPr>
        <w:t>，实施循环经济策略</w:t>
      </w:r>
      <w:r>
        <w:rPr>
          <w:rFonts w:hint="eastAsia"/>
          <w:bCs/>
          <w:szCs w:val="21"/>
        </w:rPr>
        <w:t>；</w:t>
      </w:r>
    </w:p>
    <w:p>
      <w:pPr>
        <w:spacing w:line="240" w:lineRule="auto"/>
        <w:ind w:firstLine="421" w:firstLineChars="200"/>
        <w:rPr>
          <w:bCs/>
          <w:szCs w:val="21"/>
        </w:rPr>
      </w:pPr>
      <w:r>
        <w:rPr>
          <w:rFonts w:hint="eastAsia"/>
          <w:b/>
          <w:bCs/>
          <w:szCs w:val="21"/>
        </w:rPr>
        <w:t>6</w:t>
      </w:r>
      <w:r>
        <w:rPr>
          <w:rFonts w:hint="eastAsia"/>
          <w:szCs w:val="21"/>
        </w:rPr>
        <w:t xml:space="preserve"> </w:t>
      </w:r>
      <w:r>
        <w:rPr>
          <w:szCs w:val="21"/>
        </w:rPr>
        <w:t xml:space="preserve"> 制定智能化</w:t>
      </w:r>
      <w:r>
        <w:rPr>
          <w:rFonts w:hint="eastAsia"/>
          <w:szCs w:val="21"/>
        </w:rPr>
        <w:t>、信息化和</w:t>
      </w:r>
      <w:r>
        <w:rPr>
          <w:szCs w:val="21"/>
        </w:rPr>
        <w:t>工业化</w:t>
      </w:r>
      <w:r>
        <w:rPr>
          <w:rFonts w:hint="eastAsia"/>
          <w:szCs w:val="21"/>
        </w:rPr>
        <w:t>建造</w:t>
      </w:r>
      <w:r>
        <w:rPr>
          <w:szCs w:val="21"/>
        </w:rPr>
        <w:t>应用的具体目标和实施路径，</w:t>
      </w:r>
      <w:r>
        <w:rPr>
          <w:rFonts w:hint="eastAsia"/>
          <w:szCs w:val="21"/>
        </w:rPr>
        <w:t>包括</w:t>
      </w:r>
      <w:r>
        <w:rPr>
          <w:szCs w:val="21"/>
        </w:rPr>
        <w:t>提高预制构件使用比例。</w:t>
      </w:r>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碳排放核算与管理，应考虑以下因素：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建立数据收集和监测机制，获取能源消耗、材料使用、废弃物产生数据；</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定期检查项目的低碳工作情况，建立计量数据台账或监测系统；</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编制碳排放清单，详细记录和分类汇总碳排放信息；</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制定碳排放评价报告机制，按照相关要求和标准，公开披露碳排放情况；</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根据碳排放核算结果，确定高碳排放的环节和项目，并采取相应的控制措施。</w:t>
      </w:r>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技术创新管理，可考虑以下因素：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制定支持低碳技术创新的政策，包括税收减免和研发经费方面的支持；</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加强科研院所、高校和企业间的合作，促进低碳技术的研发和转化；</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加强知识产权保护，鼓励企业和机构申请专利，保护低碳创新成果；</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开展经验交流和合作推广活动，分享成功案例和实践经验</w:t>
      </w:r>
      <w:r>
        <w:rPr>
          <w:szCs w:val="21"/>
        </w:rPr>
        <w:t>。</w:t>
      </w:r>
    </w:p>
    <w:p>
      <w:pPr>
        <w:spacing w:line="240" w:lineRule="auto"/>
        <w:rPr>
          <w:szCs w:val="21"/>
        </w:rPr>
      </w:pPr>
      <w:r>
        <w:rPr>
          <w:rFonts w:hint="eastAsia"/>
          <w:b/>
          <w:bCs/>
          <w:szCs w:val="21"/>
        </w:rPr>
        <w:t>7</w:t>
      </w:r>
      <w:r>
        <w:rPr>
          <w:rFonts w:ascii="宋体" w:hAnsi="宋体"/>
          <w:b/>
          <w:bCs/>
          <w:szCs w:val="21"/>
        </w:rPr>
        <w:t>.</w:t>
      </w:r>
      <w:r>
        <w:rPr>
          <w:rFonts w:hint="eastAsia"/>
          <w:b/>
          <w:bCs/>
          <w:szCs w:val="21"/>
        </w:rPr>
        <w:t>6</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建造全过程管理，应考虑以下因素：</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在施工期科学布设施工场地，推进低碳施工、智慧施工，推进施工场所、运输车辆、设施设备能源低碳化；</w:t>
      </w:r>
    </w:p>
    <w:p>
      <w:pPr>
        <w:spacing w:line="240" w:lineRule="auto"/>
        <w:ind w:firstLine="632" w:firstLineChars="300"/>
        <w:rPr>
          <w:rFonts w:cs="宋体"/>
          <w:szCs w:val="21"/>
        </w:rPr>
      </w:pPr>
      <w:r>
        <w:rPr>
          <w:rFonts w:hint="eastAsia" w:cs="宋体"/>
          <w:b/>
          <w:szCs w:val="21"/>
        </w:rPr>
        <w:t>1</w:t>
      </w:r>
      <w:r>
        <w:rPr>
          <w:rFonts w:hint="eastAsia" w:cs="宋体"/>
          <w:szCs w:val="21"/>
        </w:rPr>
        <w:t>）在施工前，经过详细规划和布局，合理安排施工场地的位置和配置，优先选择空地或</w:t>
      </w:r>
    </w:p>
    <w:p>
      <w:pPr>
        <w:spacing w:line="240" w:lineRule="auto"/>
        <w:ind w:firstLine="945" w:firstLineChars="450"/>
        <w:rPr>
          <w:rFonts w:cs="宋体"/>
          <w:szCs w:val="21"/>
        </w:rPr>
      </w:pPr>
      <w:r>
        <w:rPr>
          <w:rFonts w:hint="eastAsia" w:cs="宋体"/>
          <w:szCs w:val="21"/>
        </w:rPr>
        <w:t>者废弃用地作为施工场地；</w:t>
      </w:r>
    </w:p>
    <w:p>
      <w:pPr>
        <w:spacing w:line="240" w:lineRule="auto"/>
        <w:ind w:firstLine="632" w:firstLineChars="300"/>
        <w:rPr>
          <w:rFonts w:cs="宋体"/>
          <w:szCs w:val="21"/>
        </w:rPr>
      </w:pPr>
      <w:r>
        <w:rPr>
          <w:rFonts w:cs="宋体"/>
          <w:b/>
          <w:szCs w:val="21"/>
        </w:rPr>
        <w:t>2</w:t>
      </w:r>
      <w:r>
        <w:rPr>
          <w:rFonts w:hint="eastAsia" w:cs="宋体"/>
          <w:szCs w:val="21"/>
        </w:rPr>
        <w:t>）采用低碳施工技术和材料，使用高效的节能设备和低碳材料；</w:t>
      </w:r>
    </w:p>
    <w:p>
      <w:pPr>
        <w:spacing w:line="240" w:lineRule="auto"/>
        <w:ind w:firstLine="632" w:firstLineChars="300"/>
        <w:rPr>
          <w:rFonts w:cs="宋体"/>
          <w:szCs w:val="21"/>
        </w:rPr>
      </w:pPr>
      <w:r>
        <w:rPr>
          <w:rFonts w:hint="eastAsia" w:cs="宋体"/>
          <w:b/>
          <w:szCs w:val="21"/>
        </w:rPr>
        <w:t>3</w:t>
      </w:r>
      <w:r>
        <w:rPr>
          <w:rFonts w:hint="eastAsia" w:cs="宋体"/>
          <w:szCs w:val="21"/>
        </w:rPr>
        <w:t>）推广使用可再生能源，包括太阳能和风能，减少对传统能源的依赖；</w:t>
      </w:r>
    </w:p>
    <w:p>
      <w:pPr>
        <w:spacing w:line="240" w:lineRule="auto"/>
        <w:ind w:firstLine="632" w:firstLineChars="300"/>
        <w:rPr>
          <w:rFonts w:cs="宋体"/>
          <w:szCs w:val="21"/>
        </w:rPr>
      </w:pPr>
      <w:r>
        <w:rPr>
          <w:rFonts w:hint="eastAsia" w:cs="宋体"/>
          <w:b/>
          <w:szCs w:val="21"/>
        </w:rPr>
        <w:t>4</w:t>
      </w:r>
      <w:r>
        <w:rPr>
          <w:rFonts w:hint="eastAsia" w:cs="宋体"/>
          <w:szCs w:val="21"/>
        </w:rPr>
        <w:t>）应用信息技术和物联网技术，实现施工智能化和自动化。通过监测设备、传感器和数</w:t>
      </w:r>
    </w:p>
    <w:p>
      <w:pPr>
        <w:spacing w:line="240" w:lineRule="auto"/>
        <w:ind w:firstLine="945" w:firstLineChars="450"/>
        <w:rPr>
          <w:rFonts w:cs="宋体"/>
          <w:szCs w:val="21"/>
        </w:rPr>
      </w:pPr>
      <w:r>
        <w:rPr>
          <w:rFonts w:hint="eastAsia" w:cs="宋体"/>
          <w:szCs w:val="21"/>
        </w:rPr>
        <w:t>据分析，实时监测和调整施工过程中能源消耗；</w:t>
      </w:r>
    </w:p>
    <w:p>
      <w:pPr>
        <w:spacing w:line="240" w:lineRule="auto"/>
        <w:ind w:firstLine="632" w:firstLineChars="300"/>
        <w:rPr>
          <w:rFonts w:cs="宋体"/>
          <w:szCs w:val="21"/>
        </w:rPr>
      </w:pPr>
      <w:bookmarkStart w:id="301" w:name="OLE_LINK34"/>
      <w:r>
        <w:rPr>
          <w:rFonts w:hint="eastAsia" w:cs="宋体"/>
          <w:b/>
          <w:szCs w:val="21"/>
        </w:rPr>
        <w:t>5</w:t>
      </w:r>
      <w:r>
        <w:rPr>
          <w:rFonts w:hint="eastAsia" w:cs="宋体"/>
          <w:szCs w:val="21"/>
        </w:rPr>
        <w:t>）</w:t>
      </w:r>
      <w:bookmarkEnd w:id="301"/>
      <w:r>
        <w:rPr>
          <w:rFonts w:hint="eastAsia" w:cs="宋体"/>
          <w:szCs w:val="21"/>
        </w:rPr>
        <w:t>推动使用低碳、节能的运输工具，包括电动车辆</w:t>
      </w:r>
      <w:bookmarkStart w:id="302" w:name="OLE_LINK249"/>
      <w:r>
        <w:rPr>
          <w:rFonts w:hint="eastAsia" w:cs="宋体"/>
          <w:szCs w:val="21"/>
        </w:rPr>
        <w:t>、</w:t>
      </w:r>
      <w:bookmarkEnd w:id="302"/>
      <w:r>
        <w:rPr>
          <w:rFonts w:hint="eastAsia" w:cs="宋体"/>
          <w:szCs w:val="21"/>
        </w:rPr>
        <w:t>混合动力车辆；</w:t>
      </w:r>
    </w:p>
    <w:p>
      <w:pPr>
        <w:spacing w:line="240" w:lineRule="auto"/>
        <w:ind w:firstLine="632" w:firstLineChars="300"/>
        <w:rPr>
          <w:rFonts w:cs="宋体"/>
          <w:szCs w:val="21"/>
        </w:rPr>
      </w:pPr>
      <w:r>
        <w:rPr>
          <w:rFonts w:hint="eastAsia" w:cs="宋体"/>
          <w:b/>
          <w:szCs w:val="21"/>
        </w:rPr>
        <w:t>6</w:t>
      </w:r>
      <w:r>
        <w:rPr>
          <w:rFonts w:hint="eastAsia" w:cs="宋体"/>
          <w:szCs w:val="21"/>
        </w:rPr>
        <w:t>）优化物流配送路线、合理调度车辆，减少行驶里程，降低运输过程中的能源消耗；</w:t>
      </w:r>
    </w:p>
    <w:p>
      <w:pPr>
        <w:spacing w:line="240" w:lineRule="auto"/>
        <w:ind w:firstLine="632" w:firstLineChars="300"/>
        <w:rPr>
          <w:rFonts w:cs="宋体"/>
          <w:szCs w:val="21"/>
        </w:rPr>
      </w:pPr>
      <w:bookmarkStart w:id="303" w:name="OLE_LINK88"/>
      <w:bookmarkStart w:id="304" w:name="OLE_LINK93"/>
      <w:r>
        <w:rPr>
          <w:rFonts w:hint="eastAsia" w:cs="宋体"/>
          <w:b/>
          <w:szCs w:val="21"/>
        </w:rPr>
        <w:t>7</w:t>
      </w:r>
      <w:r>
        <w:rPr>
          <w:rFonts w:hint="eastAsia" w:cs="宋体"/>
          <w:szCs w:val="21"/>
        </w:rPr>
        <w:t>）对于大型机械设备，选择符合低碳要求的先进技术，加强机械设备的维护和管理，提</w:t>
      </w:r>
    </w:p>
    <w:bookmarkEnd w:id="303"/>
    <w:bookmarkEnd w:id="304"/>
    <w:p>
      <w:pPr>
        <w:spacing w:line="240" w:lineRule="auto"/>
        <w:ind w:firstLine="945" w:firstLineChars="450"/>
        <w:rPr>
          <w:rFonts w:cs="宋体"/>
          <w:szCs w:val="21"/>
        </w:rPr>
      </w:pPr>
      <w:r>
        <w:rPr>
          <w:rFonts w:hint="eastAsia" w:cs="宋体"/>
          <w:szCs w:val="21"/>
        </w:rPr>
        <w:t>高设备的使用效率和寿命。</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建立施工期低碳用能体系，鼓励清洁能源车辆在施工过程中应用，加大对施工机械设备低碳技术改造力度，提高建筑工地现有电网利用率，推广集中供电措施；</w:t>
      </w:r>
    </w:p>
    <w:p>
      <w:pPr>
        <w:spacing w:line="240" w:lineRule="auto"/>
        <w:ind w:firstLine="632" w:firstLineChars="300"/>
        <w:rPr>
          <w:rFonts w:cs="宋体"/>
          <w:szCs w:val="21"/>
        </w:rPr>
      </w:pPr>
      <w:r>
        <w:rPr>
          <w:rFonts w:hint="eastAsia" w:cs="宋体"/>
          <w:b/>
          <w:szCs w:val="21"/>
        </w:rPr>
        <w:t>1</w:t>
      </w:r>
      <w:r>
        <w:rPr>
          <w:rFonts w:hint="eastAsia" w:cs="宋体"/>
          <w:szCs w:val="21"/>
        </w:rPr>
        <w:t>）推动施工期间使用清洁能源车辆，包括电动车辆、氢燃料电池车辆；</w:t>
      </w:r>
    </w:p>
    <w:p>
      <w:pPr>
        <w:spacing w:line="240" w:lineRule="auto"/>
        <w:ind w:firstLine="632" w:firstLineChars="300"/>
        <w:rPr>
          <w:rFonts w:cs="宋体"/>
          <w:szCs w:val="21"/>
        </w:rPr>
      </w:pPr>
      <w:bookmarkStart w:id="305" w:name="OLE_LINK83"/>
      <w:r>
        <w:rPr>
          <w:rFonts w:cs="宋体"/>
          <w:b/>
          <w:szCs w:val="21"/>
        </w:rPr>
        <w:t>2</w:t>
      </w:r>
      <w:r>
        <w:rPr>
          <w:rFonts w:hint="eastAsia" w:cs="宋体"/>
          <w:szCs w:val="21"/>
        </w:rPr>
        <w:t>）对</w:t>
      </w:r>
      <w:bookmarkStart w:id="306" w:name="OLE_LINK250"/>
      <w:bookmarkStart w:id="307" w:name="OLE_LINK251"/>
      <w:r>
        <w:rPr>
          <w:rFonts w:hint="eastAsia" w:cs="宋体"/>
          <w:szCs w:val="21"/>
        </w:rPr>
        <w:t>现有的施工机械设备技术改造，包括改进发动机技术、加装高效低碳设备、优化运</w:t>
      </w:r>
      <w:bookmarkEnd w:id="306"/>
      <w:bookmarkEnd w:id="307"/>
    </w:p>
    <w:bookmarkEnd w:id="305"/>
    <w:p>
      <w:pPr>
        <w:spacing w:line="240" w:lineRule="auto"/>
        <w:ind w:firstLine="945" w:firstLineChars="450"/>
        <w:rPr>
          <w:rFonts w:cs="宋体"/>
          <w:szCs w:val="21"/>
        </w:rPr>
      </w:pPr>
      <w:r>
        <w:rPr>
          <w:rFonts w:hint="eastAsia" w:cs="宋体"/>
          <w:szCs w:val="21"/>
        </w:rPr>
        <w:t>行管理。鼓励和支持施工企业采购更加低碳和环保的施工机械设备；</w:t>
      </w:r>
    </w:p>
    <w:p>
      <w:pPr>
        <w:spacing w:line="240" w:lineRule="auto"/>
        <w:ind w:firstLine="632" w:firstLineChars="300"/>
        <w:rPr>
          <w:rFonts w:cs="宋体"/>
          <w:szCs w:val="21"/>
        </w:rPr>
      </w:pPr>
      <w:r>
        <w:rPr>
          <w:rFonts w:hint="eastAsia" w:cs="宋体"/>
          <w:b/>
          <w:szCs w:val="21"/>
        </w:rPr>
        <w:t>3</w:t>
      </w:r>
      <w:r>
        <w:rPr>
          <w:rFonts w:hint="eastAsia" w:cs="宋体"/>
          <w:szCs w:val="21"/>
        </w:rPr>
        <w:t>）建筑工地使用临时发电设备来满足用电需求，多个施工工地间共享一处供电设施，减</w:t>
      </w:r>
    </w:p>
    <w:p>
      <w:pPr>
        <w:spacing w:line="240" w:lineRule="auto"/>
        <w:ind w:firstLine="945" w:firstLineChars="450"/>
        <w:rPr>
          <w:szCs w:val="21"/>
        </w:rPr>
      </w:pPr>
      <w:r>
        <w:rPr>
          <w:rFonts w:hint="eastAsia" w:cs="宋体"/>
          <w:szCs w:val="21"/>
        </w:rPr>
        <w:t>少使用独立发电设备。</w:t>
      </w:r>
    </w:p>
    <w:p>
      <w:pPr>
        <w:spacing w:line="240" w:lineRule="auto"/>
        <w:ind w:firstLine="420" w:firstLineChars="200"/>
        <w:rPr>
          <w:szCs w:val="21"/>
        </w:rPr>
      </w:pPr>
      <w:r>
        <w:rPr>
          <w:szCs w:val="21"/>
        </w:rPr>
        <w:br w:type="page"/>
      </w:r>
    </w:p>
    <w:p>
      <w:pPr>
        <w:keepNext/>
        <w:keepLines/>
        <w:spacing w:before="360" w:after="360" w:line="240" w:lineRule="auto"/>
        <w:jc w:val="center"/>
        <w:outlineLvl w:val="0"/>
        <w:rPr>
          <w:rStyle w:val="19"/>
          <w:rFonts w:ascii="宋体" w:hAnsi="宋体" w:eastAsia="宋体"/>
          <w:b w:val="0"/>
          <w:bCs w:val="0"/>
          <w:sz w:val="28"/>
          <w:szCs w:val="28"/>
        </w:rPr>
      </w:pPr>
      <w:bookmarkStart w:id="308" w:name="_Toc161134681"/>
      <w:bookmarkStart w:id="309" w:name="_Toc160030737"/>
      <w:bookmarkStart w:id="310" w:name="_Toc160032824"/>
      <w:bookmarkStart w:id="311" w:name="_Toc160030999"/>
      <w:r>
        <w:rPr>
          <w:rStyle w:val="19"/>
          <w:rFonts w:hint="eastAsia" w:ascii="Times New Roman" w:hAnsi="Times New Roman" w:cs="Times New Roman"/>
          <w:sz w:val="28"/>
          <w:szCs w:val="28"/>
        </w:rPr>
        <w:t>8</w:t>
      </w:r>
      <w:r>
        <w:rPr>
          <w:rStyle w:val="19"/>
          <w:rFonts w:hint="eastAsia" w:ascii="宋体" w:hAnsi="宋体"/>
          <w:sz w:val="28"/>
          <w:szCs w:val="28"/>
        </w:rPr>
        <w:t xml:space="preserve">  </w:t>
      </w:r>
      <w:r>
        <w:rPr>
          <w:rStyle w:val="19"/>
          <w:rFonts w:hint="eastAsia" w:ascii="宋体" w:hAnsi="宋体" w:eastAsia="宋体"/>
          <w:b w:val="0"/>
          <w:bCs w:val="0"/>
          <w:sz w:val="28"/>
          <w:szCs w:val="28"/>
        </w:rPr>
        <w:t>低 碳 评 价</w:t>
      </w:r>
      <w:bookmarkEnd w:id="308"/>
      <w:bookmarkEnd w:id="309"/>
      <w:bookmarkEnd w:id="310"/>
      <w:bookmarkEnd w:id="311"/>
    </w:p>
    <w:p>
      <w:pPr>
        <w:pStyle w:val="4"/>
        <w:spacing w:before="240" w:after="240" w:line="240" w:lineRule="auto"/>
        <w:jc w:val="center"/>
        <w:rPr>
          <w:rFonts w:ascii="黑体" w:hAnsi="黑体" w:eastAsia="黑体"/>
          <w:b w:val="0"/>
          <w:sz w:val="21"/>
          <w:szCs w:val="21"/>
        </w:rPr>
      </w:pPr>
      <w:bookmarkStart w:id="312" w:name="_Toc160032825"/>
      <w:bookmarkStart w:id="313" w:name="_Toc160031000"/>
      <w:bookmarkStart w:id="314" w:name="_Toc160030738"/>
      <w:bookmarkStart w:id="315" w:name="_Toc161134682"/>
      <w:r>
        <w:rPr>
          <w:rFonts w:hint="eastAsia" w:ascii="Times New Roman" w:hAnsi="Times New Roman"/>
          <w:sz w:val="21"/>
          <w:szCs w:val="21"/>
        </w:rPr>
        <w:t>8</w:t>
      </w:r>
      <w:r>
        <w:rPr>
          <w:rFonts w:hint="eastAsia" w:ascii="宋体" w:hAnsi="宋体" w:eastAsia="宋体"/>
          <w:sz w:val="21"/>
          <w:szCs w:val="21"/>
        </w:rPr>
        <w:t>.</w:t>
      </w:r>
      <w:r>
        <w:rPr>
          <w:rFonts w:ascii="Times New Roman" w:hAnsi="Times New Roman"/>
          <w:sz w:val="21"/>
          <w:szCs w:val="21"/>
        </w:rPr>
        <w:t>1</w:t>
      </w:r>
      <w:r>
        <w:rPr>
          <w:rFonts w:hint="eastAsia" w:ascii="黑体" w:hAnsi="黑体"/>
          <w:b w:val="0"/>
          <w:sz w:val="21"/>
          <w:szCs w:val="21"/>
        </w:rPr>
        <w:t xml:space="preserve">  </w:t>
      </w:r>
      <w:r>
        <w:rPr>
          <w:rFonts w:hint="eastAsia" w:ascii="黑体" w:hAnsi="黑体" w:eastAsia="黑体"/>
          <w:b w:val="0"/>
          <w:sz w:val="21"/>
          <w:szCs w:val="21"/>
        </w:rPr>
        <w:t>一 般 规 定</w:t>
      </w:r>
    </w:p>
    <w:p>
      <w:pPr>
        <w:spacing w:line="240" w:lineRule="auto"/>
      </w:pPr>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应</w:t>
      </w:r>
      <w:r>
        <w:rPr>
          <w:rFonts w:hint="eastAsia"/>
        </w:rPr>
        <w:t>在工程可行性研究、初步设计、施工图设计和竣工决算等阶段，采用全生命周期评价法，对道路工程低碳设计进行评价。</w:t>
      </w:r>
    </w:p>
    <w:p>
      <w:pPr>
        <w:spacing w:line="240" w:lineRule="auto"/>
      </w:pPr>
      <w:r>
        <w:rPr>
          <w:rFonts w:hint="eastAsia"/>
          <w:b/>
          <w:bCs/>
          <w:szCs w:val="21"/>
        </w:rPr>
        <w:t>8</w:t>
      </w:r>
      <w:r>
        <w:rPr>
          <w:rFonts w:ascii="宋体" w:hAnsi="宋体"/>
          <w:b/>
          <w:bCs/>
          <w:szCs w:val="21"/>
        </w:rPr>
        <w:t>.</w:t>
      </w:r>
      <w:r>
        <w:rPr>
          <w:rFonts w:hint="eastAsia"/>
          <w:b/>
          <w:bCs/>
          <w:szCs w:val="21"/>
        </w:rPr>
        <w:t>1</w:t>
      </w:r>
      <w:r>
        <w:rPr>
          <w:rFonts w:ascii="宋体" w:hAnsi="宋体"/>
          <w:b/>
          <w:bCs/>
          <w:szCs w:val="21"/>
        </w:rPr>
        <w:t>.</w:t>
      </w:r>
      <w:r>
        <w:rPr>
          <w:rFonts w:hint="eastAsia"/>
          <w:b/>
          <w:bCs/>
          <w:szCs w:val="21"/>
        </w:rPr>
        <w:t>2</w:t>
      </w:r>
      <w:r>
        <w:rPr>
          <w:rFonts w:hint="eastAsia"/>
          <w:szCs w:val="21"/>
        </w:rPr>
        <w:t xml:space="preserve"> </w:t>
      </w:r>
      <w:r>
        <w:rPr>
          <w:szCs w:val="21"/>
        </w:rPr>
        <w:t xml:space="preserve"> 道路工程低碳</w:t>
      </w:r>
      <w:r>
        <w:rPr>
          <w:rFonts w:hint="eastAsia"/>
          <w:szCs w:val="21"/>
        </w:rPr>
        <w:t>评价方法应包括定量评价和定性评价两类，其中定量评价是以碳排放量和碳排放强度为基础的评价；定性评价是对低碳设计、绿色建材、路域生态系统、海绵城市、低碳运营等方面的评价。</w:t>
      </w:r>
    </w:p>
    <w:p>
      <w:pPr>
        <w:pStyle w:val="4"/>
        <w:spacing w:before="240" w:after="240" w:line="240" w:lineRule="auto"/>
        <w:jc w:val="center"/>
        <w:rPr>
          <w:rFonts w:ascii="黑体" w:hAnsi="黑体" w:eastAsia="黑体"/>
          <w:b w:val="0"/>
          <w:sz w:val="21"/>
          <w:szCs w:val="21"/>
        </w:rPr>
      </w:pPr>
      <w:r>
        <w:rPr>
          <w:rFonts w:hint="eastAsia" w:ascii="Times New Roman" w:hAnsi="Times New Roman"/>
          <w:sz w:val="21"/>
          <w:szCs w:val="21"/>
        </w:rPr>
        <w:t>8</w:t>
      </w:r>
      <w:r>
        <w:rPr>
          <w:rFonts w:hint="eastAsia" w:ascii="宋体" w:hAnsi="宋体" w:eastAsia="宋体"/>
          <w:sz w:val="21"/>
          <w:szCs w:val="21"/>
        </w:rPr>
        <w:t>.</w:t>
      </w:r>
      <w:r>
        <w:rPr>
          <w:rFonts w:hint="eastAsia" w:ascii="Times New Roman" w:hAnsi="Times New Roman"/>
          <w:sz w:val="21"/>
          <w:szCs w:val="21"/>
        </w:rPr>
        <w:t>2</w:t>
      </w:r>
      <w:r>
        <w:rPr>
          <w:rFonts w:hint="eastAsia" w:ascii="黑体" w:hAnsi="黑体"/>
          <w:b w:val="0"/>
          <w:sz w:val="21"/>
          <w:szCs w:val="21"/>
        </w:rPr>
        <w:t xml:space="preserve">  </w:t>
      </w:r>
      <w:r>
        <w:rPr>
          <w:rFonts w:hint="eastAsia" w:ascii="黑体" w:hAnsi="黑体" w:eastAsia="黑体"/>
          <w:b w:val="0"/>
          <w:sz w:val="21"/>
          <w:szCs w:val="21"/>
        </w:rPr>
        <w:t>评价要求和流程</w:t>
      </w:r>
      <w:bookmarkEnd w:id="312"/>
      <w:bookmarkEnd w:id="313"/>
      <w:bookmarkEnd w:id="314"/>
      <w:bookmarkEnd w:id="315"/>
    </w:p>
    <w:p>
      <w:pPr>
        <w:spacing w:line="240" w:lineRule="auto"/>
        <w:rPr>
          <w:szCs w:val="21"/>
        </w:rPr>
      </w:pPr>
      <w:bookmarkStart w:id="316" w:name="OLE_LINK14"/>
      <w:bookmarkStart w:id="317" w:name="OLE_LINK15"/>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评价要求</w:t>
      </w:r>
    </w:p>
    <w:bookmarkEnd w:id="316"/>
    <w:bookmarkEnd w:id="317"/>
    <w:p>
      <w:pPr>
        <w:spacing w:line="240" w:lineRule="auto"/>
        <w:ind w:firstLine="421" w:firstLineChars="200"/>
        <w:rPr>
          <w:bCs/>
          <w:szCs w:val="21"/>
        </w:rPr>
      </w:pPr>
      <w:bookmarkStart w:id="318" w:name="OLE_LINK222"/>
      <w:bookmarkStart w:id="319" w:name="OLE_LINK223"/>
      <w:r>
        <w:rPr>
          <w:b/>
          <w:bCs/>
          <w:szCs w:val="21"/>
        </w:rPr>
        <w:t>1</w:t>
      </w:r>
      <w:r>
        <w:rPr>
          <w:rFonts w:hint="eastAsia"/>
          <w:szCs w:val="21"/>
        </w:rPr>
        <w:t xml:space="preserve"> </w:t>
      </w:r>
      <w:r>
        <w:rPr>
          <w:szCs w:val="21"/>
        </w:rPr>
        <w:t xml:space="preserve"> </w:t>
      </w:r>
      <w:bookmarkEnd w:id="318"/>
      <w:bookmarkEnd w:id="319"/>
      <w:r>
        <w:rPr>
          <w:rFonts w:hint="eastAsia"/>
          <w:bCs/>
          <w:szCs w:val="21"/>
        </w:rPr>
        <w:t>应按工程可行性研究阶段、初步设计阶段、施工图设计阶段及竣工结算与决算阶段进行评价；</w:t>
      </w:r>
    </w:p>
    <w:p>
      <w:pPr>
        <w:spacing w:line="240" w:lineRule="auto"/>
        <w:ind w:firstLine="421" w:firstLineChars="200"/>
        <w:rPr>
          <w:bCs/>
          <w:szCs w:val="21"/>
        </w:rPr>
      </w:pPr>
      <w:bookmarkStart w:id="320" w:name="OLE_LINK224"/>
      <w:bookmarkStart w:id="321" w:name="OLE_LINK225"/>
      <w:r>
        <w:rPr>
          <w:rFonts w:hint="eastAsia"/>
          <w:b/>
          <w:bCs/>
          <w:szCs w:val="21"/>
        </w:rPr>
        <w:t>2</w:t>
      </w:r>
      <w:r>
        <w:rPr>
          <w:rFonts w:hint="eastAsia"/>
          <w:szCs w:val="21"/>
        </w:rPr>
        <w:t xml:space="preserve"> </w:t>
      </w:r>
      <w:r>
        <w:rPr>
          <w:szCs w:val="21"/>
        </w:rPr>
        <w:t xml:space="preserve"> </w:t>
      </w:r>
      <w:bookmarkEnd w:id="320"/>
      <w:bookmarkEnd w:id="321"/>
      <w:r>
        <w:rPr>
          <w:rFonts w:hint="eastAsia"/>
          <w:bCs/>
          <w:szCs w:val="21"/>
        </w:rPr>
        <w:t>可行性研究阶段的评价可合并至可行性研究报告中的资源和能源利用效果分析及“碳达峰、碳中和”分析章节；</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竣工决算阶段的评价应在道路工程交付后三年内进行，或遵照当地行政主管部门规定；</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申请评价方应提交相应书面申请材料，明确低碳评价的内容及方式，采用内部自评的形式或委托具备评估能力的技术服务单位</w:t>
      </w:r>
      <w:r>
        <w:rPr>
          <w:rFonts w:hint="eastAsia"/>
          <w:bCs/>
          <w:szCs w:val="21"/>
        </w:rPr>
        <w:t>（具有工程咨询甲级、环评乙级以上等资质）</w:t>
      </w:r>
      <w:r>
        <w:rPr>
          <w:rFonts w:hint="eastAsia"/>
          <w:szCs w:val="21"/>
        </w:rPr>
        <w:t>进行评估，并由建设单位给出最终评价结果；</w:t>
      </w:r>
    </w:p>
    <w:p>
      <w:pPr>
        <w:spacing w:line="240" w:lineRule="auto"/>
        <w:ind w:firstLine="421" w:firstLineChars="200"/>
        <w:rPr>
          <w:szCs w:val="21"/>
        </w:rPr>
      </w:pPr>
      <w:r>
        <w:rPr>
          <w:rFonts w:hint="eastAsia"/>
          <w:b/>
          <w:bCs/>
          <w:szCs w:val="21"/>
        </w:rPr>
        <w:t>5</w:t>
      </w:r>
      <w:r>
        <w:rPr>
          <w:rFonts w:hint="eastAsia"/>
          <w:szCs w:val="21"/>
        </w:rPr>
        <w:t xml:space="preserve"> </w:t>
      </w:r>
      <w:r>
        <w:rPr>
          <w:szCs w:val="21"/>
        </w:rPr>
        <w:t xml:space="preserve"> 评价资料应按规定记录、收集、整理、分析、总结、存档、备案</w:t>
      </w:r>
      <w:r>
        <w:rPr>
          <w:rFonts w:hint="eastAsia"/>
          <w:szCs w:val="21"/>
        </w:rPr>
        <w:t>；</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道路工程全寿命周期碳排放定量评价应按规定填写各类表格，并符合下列规定：</w:t>
      </w:r>
    </w:p>
    <w:p>
      <w:pPr>
        <w:spacing w:line="240" w:lineRule="auto"/>
        <w:ind w:firstLine="632" w:firstLineChars="300"/>
        <w:rPr>
          <w:rFonts w:cs="宋体"/>
          <w:szCs w:val="21"/>
        </w:rPr>
      </w:pPr>
      <w:r>
        <w:rPr>
          <w:rFonts w:hint="eastAsia" w:cs="宋体"/>
          <w:b/>
          <w:szCs w:val="21"/>
        </w:rPr>
        <w:t>1</w:t>
      </w:r>
      <w:r>
        <w:rPr>
          <w:rFonts w:hint="eastAsia" w:cs="宋体"/>
          <w:szCs w:val="21"/>
        </w:rPr>
        <w:t>）道路工程全寿命周期碳排放量计算表单应符合本标准附录A的规定；</w:t>
      </w:r>
    </w:p>
    <w:p>
      <w:pPr>
        <w:spacing w:line="240" w:lineRule="auto"/>
        <w:ind w:firstLine="632" w:firstLineChars="300"/>
        <w:rPr>
          <w:rFonts w:cs="宋体"/>
          <w:szCs w:val="21"/>
        </w:rPr>
      </w:pPr>
      <w:r>
        <w:rPr>
          <w:rFonts w:cs="宋体"/>
          <w:b/>
          <w:szCs w:val="21"/>
        </w:rPr>
        <w:t>2</w:t>
      </w:r>
      <w:r>
        <w:rPr>
          <w:rFonts w:hint="eastAsia" w:cs="宋体"/>
          <w:szCs w:val="21"/>
        </w:rPr>
        <w:t>）碳排放因子应符合本标准附录B的规定；</w:t>
      </w:r>
    </w:p>
    <w:p>
      <w:pPr>
        <w:spacing w:line="240" w:lineRule="auto"/>
        <w:ind w:firstLine="632" w:firstLineChars="300"/>
        <w:rPr>
          <w:rFonts w:cs="宋体"/>
          <w:szCs w:val="21"/>
        </w:rPr>
      </w:pPr>
      <w:r>
        <w:rPr>
          <w:rFonts w:hint="eastAsia" w:cs="宋体"/>
          <w:b/>
          <w:szCs w:val="21"/>
        </w:rPr>
        <w:t>3</w:t>
      </w:r>
      <w:r>
        <w:rPr>
          <w:rFonts w:hint="eastAsia" w:cs="宋体"/>
          <w:szCs w:val="21"/>
        </w:rPr>
        <w:t>）碳汇因子应符合本标准附录C的规定，乔木、灌木、花草等按照C</w:t>
      </w:r>
      <w:r>
        <w:rPr>
          <w:rFonts w:ascii="宋体" w:hAnsi="宋体"/>
          <w:bCs/>
          <w:szCs w:val="21"/>
        </w:rPr>
        <w:t>.</w:t>
      </w:r>
      <w:r>
        <w:rPr>
          <w:rFonts w:hint="eastAsia"/>
          <w:bCs/>
          <w:szCs w:val="21"/>
        </w:rPr>
        <w:t>0</w:t>
      </w:r>
      <w:r>
        <w:rPr>
          <w:rFonts w:ascii="宋体" w:hAnsi="宋体"/>
          <w:bCs/>
          <w:szCs w:val="21"/>
        </w:rPr>
        <w:t>.</w:t>
      </w:r>
      <w:r>
        <w:rPr>
          <w:rFonts w:hint="eastAsia"/>
          <w:bCs/>
          <w:szCs w:val="21"/>
        </w:rPr>
        <w:t>1计算碳汇</w:t>
      </w:r>
      <w:r>
        <w:rPr>
          <w:rFonts w:hint="eastAsia" w:cs="宋体"/>
          <w:szCs w:val="21"/>
        </w:rPr>
        <w:t>，具</w:t>
      </w:r>
    </w:p>
    <w:p>
      <w:pPr>
        <w:spacing w:line="240" w:lineRule="auto"/>
        <w:ind w:firstLine="945" w:firstLineChars="450"/>
        <w:rPr>
          <w:rFonts w:cs="宋体"/>
          <w:szCs w:val="21"/>
        </w:rPr>
      </w:pPr>
      <w:r>
        <w:rPr>
          <w:rFonts w:hint="eastAsia" w:cs="宋体"/>
          <w:szCs w:val="21"/>
        </w:rPr>
        <w:t>体植物按照C</w:t>
      </w:r>
      <w:r>
        <w:rPr>
          <w:rFonts w:ascii="宋体" w:hAnsi="宋体"/>
          <w:bCs/>
          <w:szCs w:val="21"/>
        </w:rPr>
        <w:t>.</w:t>
      </w:r>
      <w:r>
        <w:rPr>
          <w:rFonts w:hint="eastAsia"/>
          <w:bCs/>
          <w:szCs w:val="21"/>
        </w:rPr>
        <w:t>0</w:t>
      </w:r>
      <w:r>
        <w:rPr>
          <w:rFonts w:ascii="宋体" w:hAnsi="宋体"/>
          <w:bCs/>
          <w:szCs w:val="21"/>
        </w:rPr>
        <w:t>.</w:t>
      </w:r>
      <w:r>
        <w:rPr>
          <w:rFonts w:hint="eastAsia"/>
          <w:bCs/>
          <w:szCs w:val="21"/>
        </w:rPr>
        <w:t>2计算碳汇</w:t>
      </w:r>
      <w:r>
        <w:rPr>
          <w:rFonts w:hint="eastAsia" w:cs="宋体"/>
          <w:szCs w:val="21"/>
        </w:rPr>
        <w:t>。</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bCs/>
          <w:szCs w:val="21"/>
        </w:rPr>
        <w:t>评价报告应契合项目实际，突出重点，抓住关键，文字精炼、表述清晰。</w:t>
      </w:r>
    </w:p>
    <w:p>
      <w:pPr>
        <w:spacing w:line="240" w:lineRule="auto"/>
        <w:rPr>
          <w:szCs w:val="21"/>
        </w:rPr>
      </w:pPr>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评价内容应</w:t>
      </w:r>
      <w:bookmarkStart w:id="322" w:name="OLE_LINK227"/>
      <w:r>
        <w:rPr>
          <w:rFonts w:hint="eastAsia"/>
          <w:szCs w:val="21"/>
        </w:rPr>
        <w:t>包含但不限于</w:t>
      </w:r>
      <w:bookmarkEnd w:id="322"/>
      <w:bookmarkStart w:id="323" w:name="OLE_LINK228"/>
      <w:bookmarkStart w:id="324" w:name="OLE_LINK229"/>
      <w:r>
        <w:rPr>
          <w:rFonts w:hint="eastAsia"/>
          <w:szCs w:val="21"/>
        </w:rPr>
        <w:t>以下</w:t>
      </w:r>
      <w:bookmarkEnd w:id="323"/>
      <w:bookmarkEnd w:id="324"/>
      <w:r>
        <w:rPr>
          <w:rFonts w:hint="eastAsia"/>
          <w:szCs w:val="21"/>
        </w:rPr>
        <w:t>方面：</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项目概述；</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政策分析；</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工程分析；</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低碳“四新”技术说明；</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低碳措施可行性论证；</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w:t>
      </w:r>
      <w:r>
        <w:rPr>
          <w:rFonts w:hint="eastAsia"/>
          <w:szCs w:val="21"/>
        </w:rPr>
        <w:t>碳排放评价；</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bookmarkStart w:id="325" w:name="OLE_LINK115"/>
      <w:r>
        <w:rPr>
          <w:rFonts w:hint="eastAsia"/>
          <w:bCs/>
          <w:szCs w:val="21"/>
        </w:rPr>
        <w:t>碳排放控制措施</w:t>
      </w:r>
      <w:bookmarkEnd w:id="325"/>
      <w:r>
        <w:rPr>
          <w:rFonts w:hint="eastAsia"/>
          <w:bCs/>
          <w:szCs w:val="21"/>
        </w:rPr>
        <w:t>；</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经济效益分析；</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r>
        <w:rPr>
          <w:rFonts w:hint="eastAsia"/>
          <w:bCs/>
          <w:szCs w:val="21"/>
        </w:rPr>
        <w:t>“碳达峰、碳中和”目标符合性分析；</w:t>
      </w:r>
    </w:p>
    <w:p>
      <w:pPr>
        <w:spacing w:line="240" w:lineRule="auto"/>
        <w:ind w:firstLine="421" w:firstLineChars="200"/>
        <w:rPr>
          <w:szCs w:val="21"/>
        </w:rPr>
      </w:pPr>
      <w:r>
        <w:rPr>
          <w:rFonts w:hint="eastAsia"/>
          <w:b/>
          <w:bCs/>
          <w:szCs w:val="21"/>
        </w:rPr>
        <w:t>10</w:t>
      </w:r>
      <w:r>
        <w:rPr>
          <w:rFonts w:hint="eastAsia"/>
          <w:szCs w:val="21"/>
        </w:rPr>
        <w:t xml:space="preserve"> </w:t>
      </w:r>
      <w:r>
        <w:rPr>
          <w:szCs w:val="21"/>
        </w:rPr>
        <w:t xml:space="preserve"> </w:t>
      </w:r>
      <w:r>
        <w:rPr>
          <w:rFonts w:hint="eastAsia"/>
          <w:szCs w:val="21"/>
        </w:rPr>
        <w:t>评价结论及建议</w:t>
      </w:r>
      <w:r>
        <w:rPr>
          <w:szCs w:val="21"/>
        </w:rPr>
        <w:t>。</w:t>
      </w:r>
    </w:p>
    <w:p>
      <w:pPr>
        <w:spacing w:line="240" w:lineRule="auto"/>
        <w:rPr>
          <w:szCs w:val="21"/>
        </w:rPr>
      </w:pPr>
      <w:bookmarkStart w:id="326" w:name="OLE_LINK28"/>
      <w:r>
        <w:rPr>
          <w:rFonts w:hint="eastAsia"/>
          <w:b/>
          <w:bCs/>
          <w:szCs w:val="21"/>
        </w:rPr>
        <w:t>8</w:t>
      </w:r>
      <w:r>
        <w:rPr>
          <w:rFonts w:ascii="宋体" w:hAnsi="宋体"/>
          <w:b/>
          <w:bCs/>
          <w:szCs w:val="21"/>
        </w:rPr>
        <w:t>.</w:t>
      </w:r>
      <w:r>
        <w:rPr>
          <w:rFonts w:hint="eastAsia"/>
          <w:b/>
          <w:bCs/>
          <w:szCs w:val="21"/>
        </w:rPr>
        <w:t>2</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评价流程应包含但不限于以下过程：</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评价基准年确定</w:t>
      </w:r>
      <w:r>
        <w:rPr>
          <w:rFonts w:hint="eastAsia"/>
          <w:bCs/>
          <w:szCs w:val="21"/>
        </w:rPr>
        <w:t>；</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现状调查和资料收集，包括设计和造价文件、专项报告、活动水平数据、能源消耗数据、建设材料使用数据等；</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szCs w:val="21"/>
        </w:rPr>
        <w:t>识别排放源，确定碳排放因子，核算碳排放量</w:t>
      </w:r>
      <w:r>
        <w:rPr>
          <w:rFonts w:hint="eastAsia"/>
          <w:bCs/>
          <w:szCs w:val="21"/>
        </w:rPr>
        <w:t>；</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低碳措施可行性论证；</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szCs w:val="21"/>
        </w:rPr>
        <w:t>确定碳排放指标体系</w:t>
      </w:r>
      <w:r>
        <w:rPr>
          <w:rFonts w:hint="eastAsia"/>
          <w:bCs/>
          <w:szCs w:val="21"/>
        </w:rPr>
        <w:t>；</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道路工程</w:t>
      </w:r>
      <w:r>
        <w:rPr>
          <w:rFonts w:hint="eastAsia"/>
          <w:szCs w:val="21"/>
        </w:rPr>
        <w:t>碳排放评价；</w:t>
      </w:r>
    </w:p>
    <w:p>
      <w:pPr>
        <w:spacing w:line="240" w:lineRule="auto"/>
        <w:ind w:firstLine="421" w:firstLineChars="200"/>
        <w:rPr>
          <w:bCs/>
          <w:szCs w:val="21"/>
        </w:rPr>
      </w:pPr>
      <w:r>
        <w:rPr>
          <w:rFonts w:hint="eastAsia"/>
          <w:b/>
          <w:bCs/>
          <w:szCs w:val="21"/>
        </w:rPr>
        <w:t>7</w:t>
      </w:r>
      <w:r>
        <w:rPr>
          <w:rFonts w:hint="eastAsia"/>
          <w:szCs w:val="21"/>
        </w:rPr>
        <w:t xml:space="preserve"> </w:t>
      </w:r>
      <w:r>
        <w:rPr>
          <w:szCs w:val="21"/>
        </w:rPr>
        <w:t xml:space="preserve"> </w:t>
      </w:r>
      <w:r>
        <w:rPr>
          <w:rFonts w:hint="eastAsia"/>
          <w:szCs w:val="21"/>
        </w:rPr>
        <w:t>制定控制措施，明确主要低碳设计指标和技术措施</w:t>
      </w:r>
      <w:r>
        <w:rPr>
          <w:rFonts w:hint="eastAsia"/>
          <w:bCs/>
          <w:szCs w:val="21"/>
        </w:rPr>
        <w:t>；</w:t>
      </w:r>
    </w:p>
    <w:p>
      <w:pPr>
        <w:spacing w:line="240" w:lineRule="auto"/>
        <w:ind w:firstLine="421" w:firstLineChars="200"/>
        <w:rPr>
          <w:szCs w:val="21"/>
        </w:rPr>
      </w:pPr>
      <w:r>
        <w:rPr>
          <w:rFonts w:hint="eastAsia"/>
          <w:b/>
          <w:bCs/>
          <w:szCs w:val="21"/>
        </w:rPr>
        <w:t>8</w:t>
      </w:r>
      <w:r>
        <w:rPr>
          <w:rFonts w:hint="eastAsia"/>
          <w:szCs w:val="21"/>
        </w:rPr>
        <w:t xml:space="preserve"> </w:t>
      </w:r>
      <w:r>
        <w:rPr>
          <w:szCs w:val="21"/>
        </w:rPr>
        <w:t xml:space="preserve"> </w:t>
      </w:r>
      <w:r>
        <w:rPr>
          <w:rFonts w:hint="eastAsia"/>
          <w:szCs w:val="21"/>
        </w:rPr>
        <w:t>根据碳排放评价结果，进行“碳达峰、碳中和”的目标符合性分析；</w:t>
      </w:r>
    </w:p>
    <w:p>
      <w:pPr>
        <w:spacing w:line="240" w:lineRule="auto"/>
        <w:ind w:firstLine="421" w:firstLineChars="200"/>
        <w:rPr>
          <w:bCs/>
          <w:szCs w:val="21"/>
        </w:rPr>
      </w:pPr>
      <w:r>
        <w:rPr>
          <w:rFonts w:hint="eastAsia"/>
          <w:b/>
          <w:bCs/>
          <w:szCs w:val="21"/>
        </w:rPr>
        <w:t>9</w:t>
      </w:r>
      <w:r>
        <w:rPr>
          <w:rFonts w:hint="eastAsia"/>
          <w:szCs w:val="21"/>
        </w:rPr>
        <w:t xml:space="preserve"> </w:t>
      </w:r>
      <w:r>
        <w:rPr>
          <w:szCs w:val="21"/>
        </w:rPr>
        <w:t xml:space="preserve"> </w:t>
      </w:r>
      <w:r>
        <w:rPr>
          <w:rFonts w:hint="eastAsia"/>
          <w:szCs w:val="21"/>
        </w:rPr>
        <w:t>给出道路工程低碳设计的评价结论及建议</w:t>
      </w:r>
      <w:r>
        <w:rPr>
          <w:rFonts w:hint="eastAsia"/>
          <w:bCs/>
          <w:szCs w:val="21"/>
        </w:rPr>
        <w:t>。</w:t>
      </w:r>
    </w:p>
    <w:bookmarkEnd w:id="326"/>
    <w:p>
      <w:pPr>
        <w:pStyle w:val="4"/>
        <w:spacing w:before="240" w:after="240" w:line="240" w:lineRule="auto"/>
        <w:jc w:val="center"/>
        <w:rPr>
          <w:rFonts w:ascii="黑体" w:hAnsi="黑体" w:eastAsia="黑体"/>
          <w:b w:val="0"/>
          <w:sz w:val="21"/>
          <w:szCs w:val="21"/>
        </w:rPr>
      </w:pPr>
      <w:bookmarkStart w:id="327" w:name="_Toc160030739"/>
      <w:bookmarkStart w:id="328" w:name="_Toc160032826"/>
      <w:bookmarkStart w:id="329" w:name="_Toc160031001"/>
      <w:bookmarkStart w:id="330" w:name="_Toc161134683"/>
      <w:r>
        <w:rPr>
          <w:rFonts w:hint="eastAsia" w:ascii="Times New Roman" w:hAnsi="Times New Roman"/>
          <w:sz w:val="21"/>
          <w:szCs w:val="21"/>
        </w:rPr>
        <w:t>8</w:t>
      </w:r>
      <w:r>
        <w:rPr>
          <w:rFonts w:hint="eastAsia" w:ascii="宋体" w:hAnsi="宋体" w:eastAsia="宋体"/>
          <w:sz w:val="21"/>
          <w:szCs w:val="21"/>
        </w:rPr>
        <w:t>.</w:t>
      </w:r>
      <w:r>
        <w:rPr>
          <w:rFonts w:hint="eastAsia" w:ascii="Times New Roman" w:hAnsi="Times New Roman"/>
          <w:sz w:val="21"/>
          <w:szCs w:val="21"/>
        </w:rPr>
        <w:t>3</w:t>
      </w:r>
      <w:r>
        <w:rPr>
          <w:rFonts w:hint="eastAsia" w:ascii="黑体" w:hAnsi="黑体"/>
          <w:b w:val="0"/>
          <w:sz w:val="21"/>
          <w:szCs w:val="21"/>
        </w:rPr>
        <w:t xml:space="preserve">  </w:t>
      </w:r>
      <w:r>
        <w:rPr>
          <w:rFonts w:hint="eastAsia" w:ascii="黑体" w:hAnsi="黑体" w:eastAsia="黑体"/>
          <w:b w:val="0"/>
          <w:sz w:val="21"/>
          <w:szCs w:val="21"/>
        </w:rPr>
        <w:t>评价方法与评价指标</w:t>
      </w:r>
      <w:bookmarkEnd w:id="327"/>
      <w:bookmarkEnd w:id="328"/>
      <w:bookmarkEnd w:id="329"/>
      <w:bookmarkEnd w:id="330"/>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道路工程低碳评价</w:t>
      </w:r>
      <w:bookmarkStart w:id="331" w:name="OLE_LINK230"/>
      <w:bookmarkStart w:id="332" w:name="OLE_LINK231"/>
      <w:r>
        <w:rPr>
          <w:rFonts w:hint="eastAsia"/>
          <w:szCs w:val="21"/>
        </w:rPr>
        <w:t>，应考虑以下因素：</w:t>
      </w:r>
    </w:p>
    <w:bookmarkEnd w:id="331"/>
    <w:bookmarkEnd w:id="332"/>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明确道路工程低碳设计的总体目标和实施路径、碳排放指标、边界和功能单位；</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收集并整理材料、机械设备和能源消耗数据及信息；</w:t>
      </w:r>
    </w:p>
    <w:p>
      <w:pPr>
        <w:spacing w:line="240" w:lineRule="auto"/>
        <w:ind w:firstLine="421" w:firstLineChars="200"/>
        <w:rPr>
          <w:bCs/>
          <w:szCs w:val="21"/>
        </w:rPr>
      </w:pPr>
      <w:r>
        <w:rPr>
          <w:rFonts w:hint="eastAsia"/>
          <w:b/>
          <w:bCs/>
          <w:szCs w:val="21"/>
        </w:rPr>
        <w:t>3</w:t>
      </w:r>
      <w:r>
        <w:rPr>
          <w:rFonts w:hint="eastAsia"/>
          <w:szCs w:val="21"/>
        </w:rPr>
        <w:t xml:space="preserve"> </w:t>
      </w:r>
      <w:r>
        <w:rPr>
          <w:szCs w:val="21"/>
        </w:rPr>
        <w:t xml:space="preserve"> </w:t>
      </w:r>
      <w:r>
        <w:rPr>
          <w:rFonts w:hint="eastAsia"/>
          <w:bCs/>
          <w:szCs w:val="21"/>
        </w:rPr>
        <w:t>根据所收集的资料和数据，评估各个环节对环境的影响，包括碳排放量；</w:t>
      </w:r>
    </w:p>
    <w:p>
      <w:pPr>
        <w:spacing w:line="240" w:lineRule="auto"/>
        <w:ind w:firstLine="421" w:firstLineChars="200"/>
        <w:rPr>
          <w:szCs w:val="21"/>
        </w:rPr>
      </w:pPr>
      <w:r>
        <w:rPr>
          <w:rFonts w:hint="eastAsia"/>
          <w:b/>
          <w:bCs/>
          <w:szCs w:val="21"/>
        </w:rPr>
        <w:t>4</w:t>
      </w:r>
      <w:r>
        <w:rPr>
          <w:rFonts w:hint="eastAsia"/>
          <w:szCs w:val="21"/>
        </w:rPr>
        <w:t xml:space="preserve"> </w:t>
      </w:r>
      <w:r>
        <w:rPr>
          <w:szCs w:val="21"/>
        </w:rPr>
        <w:t xml:space="preserve"> </w:t>
      </w:r>
      <w:r>
        <w:rPr>
          <w:rFonts w:hint="eastAsia"/>
          <w:szCs w:val="21"/>
        </w:rPr>
        <w:t>根据评价结果，分析分部分项工程和措施的影响程度，确定主要的碳排放源和关键因素；</w:t>
      </w:r>
    </w:p>
    <w:p>
      <w:pPr>
        <w:spacing w:line="240" w:lineRule="auto"/>
        <w:ind w:firstLine="421" w:firstLineChars="200"/>
        <w:rPr>
          <w:bCs/>
          <w:szCs w:val="21"/>
        </w:rPr>
      </w:pPr>
      <w:r>
        <w:rPr>
          <w:rFonts w:hint="eastAsia"/>
          <w:b/>
          <w:bCs/>
          <w:szCs w:val="21"/>
        </w:rPr>
        <w:t>5</w:t>
      </w:r>
      <w:r>
        <w:rPr>
          <w:rFonts w:hint="eastAsia"/>
          <w:szCs w:val="21"/>
        </w:rPr>
        <w:t xml:space="preserve"> </w:t>
      </w:r>
      <w:r>
        <w:rPr>
          <w:szCs w:val="21"/>
        </w:rPr>
        <w:t xml:space="preserve"> </w:t>
      </w:r>
      <w:r>
        <w:rPr>
          <w:rFonts w:hint="eastAsia"/>
          <w:bCs/>
          <w:szCs w:val="21"/>
        </w:rPr>
        <w:t>探索低碳设计的改进方案和措施，并比选控制效果和经济效益；</w:t>
      </w:r>
    </w:p>
    <w:p>
      <w:pPr>
        <w:spacing w:line="240" w:lineRule="auto"/>
        <w:ind w:firstLine="421" w:firstLineChars="200"/>
        <w:rPr>
          <w:szCs w:val="21"/>
        </w:rPr>
      </w:pPr>
      <w:r>
        <w:rPr>
          <w:rFonts w:hint="eastAsia"/>
          <w:b/>
          <w:bCs/>
          <w:szCs w:val="21"/>
        </w:rPr>
        <w:t>6</w:t>
      </w:r>
      <w:r>
        <w:rPr>
          <w:rFonts w:hint="eastAsia"/>
          <w:szCs w:val="21"/>
        </w:rPr>
        <w:t xml:space="preserve"> </w:t>
      </w:r>
      <w:r>
        <w:rPr>
          <w:szCs w:val="21"/>
        </w:rPr>
        <w:t xml:space="preserve"> 提供</w:t>
      </w:r>
      <w:r>
        <w:rPr>
          <w:rFonts w:hint="eastAsia"/>
          <w:szCs w:val="21"/>
        </w:rPr>
        <w:t>评价报告，为决策者和利益方提供低碳的改进方案和措施</w:t>
      </w:r>
      <w:r>
        <w:rPr>
          <w:szCs w:val="21"/>
        </w:rPr>
        <w:t>。</w:t>
      </w:r>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评价方法</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应</w:t>
      </w:r>
      <w:r>
        <w:rPr>
          <w:rFonts w:hint="eastAsia"/>
          <w:bCs/>
          <w:szCs w:val="21"/>
        </w:rPr>
        <w:t>针对项目全寿命周期开展定量评价；</w:t>
      </w:r>
    </w:p>
    <w:p>
      <w:pPr>
        <w:spacing w:line="240" w:lineRule="auto"/>
        <w:ind w:firstLine="421" w:firstLineChars="200"/>
        <w:rPr>
          <w:szCs w:val="21"/>
        </w:rPr>
      </w:pPr>
      <w:r>
        <w:rPr>
          <w:b/>
          <w:bCs/>
          <w:szCs w:val="21"/>
        </w:rPr>
        <w:t>2</w:t>
      </w:r>
      <w:r>
        <w:rPr>
          <w:rFonts w:hint="eastAsia"/>
          <w:szCs w:val="21"/>
        </w:rPr>
        <w:t xml:space="preserve"> </w:t>
      </w:r>
      <w:r>
        <w:rPr>
          <w:szCs w:val="21"/>
        </w:rPr>
        <w:t xml:space="preserve"> 应</w:t>
      </w:r>
      <w:r>
        <w:rPr>
          <w:rFonts w:hint="eastAsia"/>
          <w:szCs w:val="21"/>
        </w:rPr>
        <w:t>采用层次分析法对道路工程低碳</w:t>
      </w:r>
      <w:bookmarkStart w:id="333" w:name="OLE_LINK233"/>
      <w:bookmarkStart w:id="334" w:name="OLE_LINK232"/>
      <w:r>
        <w:rPr>
          <w:rFonts w:hint="eastAsia"/>
          <w:szCs w:val="21"/>
        </w:rPr>
        <w:t>设计阶段</w:t>
      </w:r>
      <w:bookmarkEnd w:id="333"/>
      <w:bookmarkEnd w:id="334"/>
      <w:r>
        <w:rPr>
          <w:rFonts w:hint="eastAsia"/>
          <w:szCs w:val="21"/>
        </w:rPr>
        <w:t>开展定性评价，不包括除设计阶段以外的全寿命周期其他阶段</w:t>
      </w:r>
      <w:r>
        <w:rPr>
          <w:szCs w:val="21"/>
        </w:rPr>
        <w:t>。</w:t>
      </w:r>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评价指标</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应分类分级进行评价，指标分级不应超过二级；</w:t>
      </w:r>
    </w:p>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因道路工程的投资规模、等级、功能定位存在差异，可依据道路工程实际，对评价指标体系的条款进行取舍，确定具体指标和目标值；</w:t>
      </w:r>
    </w:p>
    <w:p>
      <w:pPr>
        <w:spacing w:line="240" w:lineRule="auto"/>
        <w:ind w:firstLine="421" w:firstLineChars="200"/>
        <w:rPr>
          <w:szCs w:val="21"/>
        </w:rPr>
      </w:pPr>
      <w:r>
        <w:rPr>
          <w:rFonts w:hint="eastAsia"/>
          <w:b/>
          <w:bCs/>
          <w:szCs w:val="21"/>
        </w:rPr>
        <w:t>3</w:t>
      </w:r>
      <w:r>
        <w:rPr>
          <w:rFonts w:hint="eastAsia"/>
          <w:szCs w:val="21"/>
        </w:rPr>
        <w:t xml:space="preserve"> </w:t>
      </w:r>
      <w:r>
        <w:rPr>
          <w:szCs w:val="21"/>
        </w:rPr>
        <w:t xml:space="preserve"> </w:t>
      </w:r>
      <w:r>
        <w:rPr>
          <w:rFonts w:hint="eastAsia"/>
          <w:szCs w:val="21"/>
        </w:rPr>
        <w:t>定量评价的结果应包括碳排放量、碳汇量、碳排放强度、可再生能源利用量等指标</w:t>
      </w:r>
      <w:r>
        <w:rPr>
          <w:szCs w:val="21"/>
        </w:rPr>
        <w:t>。</w:t>
      </w:r>
    </w:p>
    <w:p>
      <w:pPr>
        <w:spacing w:line="240" w:lineRule="auto"/>
        <w:rPr>
          <w:szCs w:val="21"/>
        </w:rPr>
      </w:pPr>
      <w:r>
        <w:rPr>
          <w:rFonts w:hint="eastAsia"/>
          <w:b/>
          <w:bCs/>
          <w:szCs w:val="21"/>
        </w:rPr>
        <w:t>8</w:t>
      </w:r>
      <w:r>
        <w:rPr>
          <w:rFonts w:ascii="宋体" w:hAnsi="宋体"/>
          <w:b/>
          <w:bCs/>
          <w:szCs w:val="21"/>
        </w:rPr>
        <w:t>.</w:t>
      </w:r>
      <w:r>
        <w:rPr>
          <w:rFonts w:hint="eastAsia"/>
          <w:b/>
          <w:bCs/>
          <w:szCs w:val="21"/>
        </w:rPr>
        <w:t>3</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项目“碳达峰、碳中和”的目标符合性评价</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依据</w:t>
      </w:r>
      <w:r>
        <w:rPr>
          <w:rFonts w:hint="eastAsia"/>
          <w:szCs w:val="21"/>
        </w:rPr>
        <w:t>道路工程低碳设计评价报告</w:t>
      </w:r>
      <w:r>
        <w:rPr>
          <w:szCs w:val="21"/>
        </w:rPr>
        <w:t>，综合确定</w:t>
      </w:r>
      <w:r>
        <w:rPr>
          <w:rFonts w:hint="eastAsia"/>
          <w:bCs/>
          <w:szCs w:val="21"/>
        </w:rPr>
        <w:t>项目“碳达峰、碳中和”目标符合性评价等级划分应分为I级（不符合）、II级（基本符合）、III级（符合）和IV级（完全符合）四个等级；</w:t>
      </w:r>
    </w:p>
    <w:p>
      <w:pPr>
        <w:spacing w:line="240" w:lineRule="auto"/>
        <w:ind w:left="-6"/>
        <w:jc w:val="center"/>
        <w:rPr>
          <w:rFonts w:eastAsia="黑体" w:cs="黑体"/>
          <w:bCs/>
          <w:sz w:val="18"/>
          <w:szCs w:val="18"/>
        </w:rPr>
      </w:pPr>
      <w:r>
        <w:rPr>
          <w:rFonts w:hint="eastAsia" w:eastAsia="黑体" w:cs="黑体"/>
          <w:bCs/>
          <w:sz w:val="18"/>
          <w:szCs w:val="18"/>
        </w:rPr>
        <w:t>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4-1</w:t>
      </w:r>
      <w:r>
        <w:rPr>
          <w:rFonts w:ascii="宋体" w:hAnsi="宋体" w:cs="黑体"/>
          <w:bCs/>
          <w:sz w:val="18"/>
          <w:szCs w:val="18"/>
        </w:rPr>
        <w:t xml:space="preserve">  </w:t>
      </w:r>
      <w:r>
        <w:rPr>
          <w:rFonts w:hint="eastAsia" w:eastAsia="黑体" w:cs="黑体"/>
          <w:bCs/>
          <w:sz w:val="18"/>
          <w:szCs w:val="18"/>
        </w:rPr>
        <w:t>道路工程项目“碳达峰、碳中和”目标符合性评价等级判断表</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896"/>
        <w:gridCol w:w="1896"/>
        <w:gridCol w:w="1897"/>
        <w:gridCol w:w="1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3"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符合性等级</w:t>
            </w:r>
          </w:p>
        </w:tc>
        <w:tc>
          <w:tcPr>
            <w:tcW w:w="1896"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低（</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1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w:t>
            </w:r>
            <w:r>
              <w:rPr>
                <w:rFonts w:ascii="Times New Roman" w:eastAsia="宋体"/>
                <w:sz w:val="15"/>
              </w:rPr>
              <w:fldChar w:fldCharType="end"/>
            </w:r>
            <w:r>
              <w:rPr>
                <w:rFonts w:hint="eastAsia" w:ascii="Times New Roman" w:eastAsia="宋体"/>
                <w:sz w:val="15"/>
              </w:rPr>
              <w:t>）</w:t>
            </w:r>
          </w:p>
        </w:tc>
        <w:tc>
          <w:tcPr>
            <w:tcW w:w="1896"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中（</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2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II</w:t>
            </w:r>
            <w:r>
              <w:rPr>
                <w:rFonts w:ascii="Times New Roman" w:eastAsia="宋体"/>
                <w:sz w:val="15"/>
              </w:rPr>
              <w:fldChar w:fldCharType="end"/>
            </w:r>
            <w:r>
              <w:rPr>
                <w:rFonts w:hint="eastAsia" w:ascii="Times New Roman" w:eastAsia="宋体"/>
                <w:sz w:val="15"/>
              </w:rPr>
              <w:t>）</w:t>
            </w:r>
          </w:p>
        </w:tc>
        <w:tc>
          <w:tcPr>
            <w:tcW w:w="1897"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高（</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3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III</w:t>
            </w:r>
            <w:r>
              <w:rPr>
                <w:rFonts w:ascii="Times New Roman" w:eastAsia="宋体"/>
                <w:sz w:val="15"/>
              </w:rPr>
              <w:fldChar w:fldCharType="end"/>
            </w:r>
            <w:r>
              <w:rPr>
                <w:rFonts w:hint="eastAsia" w:ascii="Times New Roman" w:eastAsia="宋体"/>
                <w:sz w:val="15"/>
              </w:rPr>
              <w:t>）</w:t>
            </w:r>
          </w:p>
        </w:tc>
        <w:tc>
          <w:tcPr>
            <w:tcW w:w="1898"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极高（</w:t>
            </w:r>
            <w:r>
              <w:rPr>
                <w:rFonts w:ascii="Times New Roman" w:eastAsia="宋体"/>
                <w:sz w:val="15"/>
              </w:rPr>
              <w:fldChar w:fldCharType="begin"/>
            </w:r>
            <w:r>
              <w:rPr>
                <w:rFonts w:ascii="Times New Roman" w:eastAsia="宋体"/>
                <w:sz w:val="15"/>
              </w:rPr>
              <w:instrText xml:space="preserve"> </w:instrText>
            </w:r>
            <w:r>
              <w:rPr>
                <w:rFonts w:hint="eastAsia" w:ascii="Times New Roman" w:eastAsia="宋体"/>
                <w:sz w:val="15"/>
              </w:rPr>
              <w:instrText xml:space="preserve">= 4 \* ROMAN</w:instrText>
            </w:r>
            <w:r>
              <w:rPr>
                <w:rFonts w:ascii="Times New Roman" w:eastAsia="宋体"/>
                <w:sz w:val="15"/>
              </w:rPr>
              <w:instrText xml:space="preserve"> </w:instrText>
            </w:r>
            <w:r>
              <w:rPr>
                <w:rFonts w:ascii="Times New Roman" w:eastAsia="宋体"/>
                <w:sz w:val="15"/>
              </w:rPr>
              <w:fldChar w:fldCharType="separate"/>
            </w:r>
            <w:r>
              <w:rPr>
                <w:rFonts w:ascii="Times New Roman" w:eastAsia="宋体"/>
                <w:sz w:val="15"/>
              </w:rPr>
              <w:t>IV</w:t>
            </w:r>
            <w:r>
              <w:rPr>
                <w:rFonts w:ascii="Times New Roman" w:eastAsia="宋体"/>
                <w:sz w:val="15"/>
              </w:rPr>
              <w:fldChar w:fldCharType="end"/>
            </w:r>
            <w:r>
              <w:rPr>
                <w:rFonts w:hint="eastAsia" w:ascii="Times New Roman" w:eastAsia="宋体"/>
                <w:sz w:val="15"/>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3" w:type="dxa"/>
            <w:noWrap w:val="0"/>
            <w:vAlign w:val="center"/>
          </w:tcPr>
          <w:p>
            <w:pPr>
              <w:pStyle w:val="40"/>
              <w:tabs>
                <w:tab w:val="clear" w:pos="360"/>
              </w:tabs>
              <w:jc w:val="center"/>
              <w:rPr>
                <w:rFonts w:ascii="Times New Roman" w:eastAsia="宋体"/>
                <w:sz w:val="15"/>
              </w:rPr>
            </w:pPr>
            <w:r>
              <w:rPr>
                <w:rFonts w:hint="eastAsia" w:ascii="Times New Roman" w:eastAsia="宋体"/>
                <w:sz w:val="15"/>
              </w:rPr>
              <w:t>评价值</w:t>
            </w:r>
          </w:p>
        </w:tc>
        <w:tc>
          <w:tcPr>
            <w:tcW w:w="1896"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0≤F&lt;30</m:t>
                </m:r>
              </m:oMath>
            </m:oMathPara>
          </w:p>
        </w:tc>
        <w:tc>
          <w:tcPr>
            <w:tcW w:w="1896"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30≤F&lt;60</m:t>
                </m:r>
              </m:oMath>
            </m:oMathPara>
          </w:p>
        </w:tc>
        <w:tc>
          <w:tcPr>
            <w:tcW w:w="1897"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60≤F&lt;80</m:t>
                </m:r>
              </m:oMath>
            </m:oMathPara>
          </w:p>
        </w:tc>
        <w:tc>
          <w:tcPr>
            <w:tcW w:w="1898" w:type="dxa"/>
            <w:noWrap w:val="0"/>
            <w:vAlign w:val="center"/>
          </w:tcPr>
          <w:p>
            <w:pPr>
              <w:pStyle w:val="40"/>
              <w:tabs>
                <w:tab w:val="clear" w:pos="360"/>
              </w:tabs>
              <w:jc w:val="center"/>
              <w:rPr>
                <w:rFonts w:ascii="Times New Roman" w:eastAsia="宋体"/>
                <w:sz w:val="15"/>
              </w:rPr>
            </w:pPr>
            <m:oMathPara>
              <m:oMath>
                <m:r>
                  <m:rPr>
                    <m:sty m:val="p"/>
                  </m:rPr>
                  <w:rPr>
                    <w:rFonts w:hint="default" w:ascii="Cambria Math" w:hAnsi="Cambria Math" w:eastAsia="宋体"/>
                    <w:sz w:val="15"/>
                  </w:rPr>
                  <m:t>80≤F&lt;100</m:t>
                </m:r>
              </m:oMath>
            </m:oMathPara>
          </w:p>
        </w:tc>
      </w:tr>
    </w:tbl>
    <w:p>
      <w:pPr>
        <w:spacing w:line="240" w:lineRule="auto"/>
        <w:ind w:firstLine="421" w:firstLineChars="200"/>
        <w:rPr>
          <w:szCs w:val="21"/>
        </w:rPr>
      </w:pPr>
      <w:r>
        <w:rPr>
          <w:b/>
          <w:bCs/>
          <w:szCs w:val="21"/>
        </w:rPr>
        <w:t>2</w:t>
      </w:r>
      <w:r>
        <w:rPr>
          <w:rFonts w:hint="eastAsia"/>
          <w:szCs w:val="21"/>
        </w:rPr>
        <w:t xml:space="preserve"> </w:t>
      </w:r>
      <w:r>
        <w:rPr>
          <w:szCs w:val="21"/>
        </w:rPr>
        <w:t xml:space="preserve"> </w:t>
      </w:r>
      <w:r>
        <w:rPr>
          <w:rFonts w:hint="eastAsia"/>
          <w:szCs w:val="21"/>
        </w:rPr>
        <w:t>评价项目“碳达峰、碳中和”的目标符合性，应按百分制折算，按下式计算：</w:t>
      </w:r>
    </w:p>
    <w:p>
      <w:pPr>
        <w:spacing w:line="240" w:lineRule="auto"/>
        <w:jc w:val="right"/>
        <w:rPr>
          <w:szCs w:val="21"/>
        </w:rPr>
      </w:pPr>
      <m:oMath>
        <m:r>
          <m:rPr/>
          <w:rPr>
            <w:rFonts w:hint="eastAsia" w:ascii="Cambria Math" w:hAnsi="Cambria Math"/>
            <w:szCs w:val="21"/>
          </w:rPr>
          <m:t>F</m:t>
        </m:r>
        <m:r>
          <m:rPr/>
          <w:rPr>
            <w:rFonts w:hint="default" w:ascii="Cambria Math" w:hAnsi="Cambria Math"/>
            <w:szCs w:val="21"/>
          </w:rPr>
          <m:t>=</m:t>
        </m:r>
        <m:f>
          <m:fPr>
            <m:ctrlPr>
              <w:rPr>
                <w:rFonts w:hint="default" w:ascii="Cambria Math" w:hAnsi="Cambria Math"/>
                <w:i/>
                <w:szCs w:val="21"/>
              </w:rPr>
            </m:ctrlPr>
          </m:fPr>
          <m:num>
            <m:nary>
              <m:naryPr>
                <m:chr m:val="∑"/>
                <m:limLoc m:val="subSup"/>
                <m:ctrlPr>
                  <w:rPr>
                    <w:rFonts w:hint="default" w:ascii="Cambria Math" w:hAnsi="Cambria Math"/>
                    <w:i/>
                    <w:szCs w:val="21"/>
                  </w:rPr>
                </m:ctrlPr>
              </m:naryPr>
              <m:sub>
                <m:r>
                  <m:rPr/>
                  <w:rPr>
                    <w:rFonts w:hint="default" w:ascii="Cambria Math" w:hAnsi="Cambria Math"/>
                    <w:szCs w:val="21"/>
                  </w:rPr>
                  <m:t>t=1</m:t>
                </m:r>
                <m:ctrlPr>
                  <w:rPr>
                    <w:rFonts w:hint="default" w:ascii="Cambria Math" w:hAnsi="Cambria Math"/>
                    <w:i/>
                    <w:szCs w:val="21"/>
                  </w:rPr>
                </m:ctrlPr>
              </m:sub>
              <m:sup>
                <m:r>
                  <m:rPr/>
                  <w:rPr>
                    <w:rFonts w:hint="default" w:ascii="Cambria Math" w:hAnsi="Cambria Math"/>
                    <w:szCs w:val="21"/>
                  </w:rPr>
                  <m:t>T</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a</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ctrlPr>
                  <w:rPr>
                    <w:rFonts w:hint="default" w:ascii="Cambria Math" w:hAnsi="Cambria Math"/>
                    <w:i/>
                    <w:szCs w:val="21"/>
                  </w:rPr>
                </m:ctrlPr>
              </m:e>
            </m:nary>
            <m:ctrlPr>
              <w:rPr>
                <w:rFonts w:hint="default" w:ascii="Cambria Math" w:hAnsi="Cambria Math"/>
                <w:i/>
                <w:szCs w:val="21"/>
              </w:rPr>
            </m:ctrlPr>
          </m:num>
          <m:den>
            <m:nary>
              <m:naryPr>
                <m:chr m:val="∑"/>
                <m:limLoc m:val="subSup"/>
                <m:ctrlPr>
                  <w:rPr>
                    <w:rFonts w:hint="default" w:ascii="Cambria Math" w:hAnsi="Cambria Math"/>
                    <w:i/>
                    <w:szCs w:val="21"/>
                  </w:rPr>
                </m:ctrlPr>
              </m:naryPr>
              <m:sub>
                <m:r>
                  <m:rPr/>
                  <w:rPr>
                    <w:rFonts w:hint="default" w:ascii="Cambria Math" w:hAnsi="Cambria Math"/>
                    <w:szCs w:val="21"/>
                  </w:rPr>
                  <m:t>t=1</m:t>
                </m:r>
                <m:ctrlPr>
                  <w:rPr>
                    <w:rFonts w:hint="default" w:ascii="Cambria Math" w:hAnsi="Cambria Math"/>
                    <w:i/>
                    <w:szCs w:val="21"/>
                  </w:rPr>
                </m:ctrlPr>
              </m:sub>
              <m:sup>
                <m:r>
                  <m:rPr/>
                  <w:rPr>
                    <w:rFonts w:hint="default" w:ascii="Cambria Math" w:hAnsi="Cambria Math"/>
                    <w:szCs w:val="21"/>
                  </w:rPr>
                  <m:t>T</m:t>
                </m:r>
                <m:ctrlPr>
                  <w:rPr>
                    <w:rFonts w:hint="default" w:ascii="Cambria Math" w:hAnsi="Cambria Math"/>
                    <w:i/>
                    <w:szCs w:val="21"/>
                  </w:rPr>
                </m:ctrlPr>
              </m:sup>
              <m:e>
                <m:sSub>
                  <m:sSubPr>
                    <m:ctrlPr>
                      <w:rPr>
                        <w:rFonts w:hint="default" w:ascii="Cambria Math" w:hAnsi="Cambria Math"/>
                        <w:i/>
                        <w:szCs w:val="21"/>
                      </w:rPr>
                    </m:ctrlPr>
                  </m:sSubPr>
                  <m:e>
                    <m:r>
                      <m:rPr/>
                      <w:rPr>
                        <w:rFonts w:hint="default" w:ascii="Cambria Math" w:hAnsi="Cambria Math"/>
                        <w:szCs w:val="21"/>
                      </w:rPr>
                      <m:t>ω</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ctrlPr>
                  <w:rPr>
                    <w:rFonts w:hint="default" w:ascii="Cambria Math" w:hAnsi="Cambria Math"/>
                    <w:i/>
                    <w:szCs w:val="21"/>
                  </w:rPr>
                </m:ctrlPr>
              </m:e>
            </m:nary>
            <m:ctrlPr>
              <w:rPr>
                <w:rFonts w:hint="default" w:ascii="Cambria Math" w:hAnsi="Cambria Math"/>
                <w:i/>
                <w:szCs w:val="21"/>
              </w:rPr>
            </m:ctrlPr>
          </m:den>
        </m:f>
        <m:r>
          <m:rPr/>
          <w:rPr>
            <w:rFonts w:hint="default" w:ascii="Cambria Math" w:hAnsi="Cambria Math"/>
            <w:szCs w:val="21"/>
          </w:rPr>
          <m:t>×100</m:t>
        </m:r>
      </m:oMath>
      <w:r>
        <w:rPr>
          <w:rFonts w:hint="eastAsia"/>
          <w:szCs w:val="21"/>
        </w:rPr>
        <w:t xml:space="preserve">                        （</w:t>
      </w:r>
      <w:r>
        <w:rPr>
          <w:rFonts w:hint="eastAsia"/>
          <w:bCs/>
          <w:szCs w:val="21"/>
        </w:rPr>
        <w:t>8</w:t>
      </w:r>
      <w:r>
        <w:rPr>
          <w:rFonts w:ascii="宋体" w:hAnsi="宋体"/>
          <w:bCs/>
          <w:szCs w:val="21"/>
        </w:rPr>
        <w:t>.</w:t>
      </w:r>
      <w:r>
        <w:rPr>
          <w:rFonts w:hint="eastAsia"/>
          <w:bCs/>
          <w:szCs w:val="21"/>
        </w:rPr>
        <w:t>2</w:t>
      </w:r>
      <w:r>
        <w:rPr>
          <w:rFonts w:ascii="宋体" w:hAnsi="宋体"/>
          <w:bCs/>
          <w:szCs w:val="21"/>
        </w:rPr>
        <w:t>.</w:t>
      </w:r>
      <w:r>
        <w:rPr>
          <w:rFonts w:hint="eastAsia"/>
          <w:bCs/>
          <w:szCs w:val="21"/>
        </w:rPr>
        <w:t>4</w:t>
      </w:r>
      <w:r>
        <w:rPr>
          <w:rFonts w:hint="eastAsia"/>
          <w:szCs w:val="21"/>
        </w:rPr>
        <w:t>）</w:t>
      </w:r>
    </w:p>
    <w:p>
      <w:pPr>
        <w:spacing w:line="240" w:lineRule="auto"/>
        <w:jc w:val="left"/>
        <w:rPr>
          <w:szCs w:val="21"/>
        </w:rPr>
      </w:pPr>
      <w:r>
        <w:rPr>
          <w:rFonts w:hint="eastAsia"/>
          <w:szCs w:val="21"/>
        </w:rPr>
        <w:t>式中：</w:t>
      </w:r>
    </w:p>
    <w:tbl>
      <w:tblPr>
        <w:tblStyle w:val="14"/>
        <w:tblW w:w="8375"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57" w:type="dxa"/>
          <w:bottom w:w="0" w:type="dxa"/>
          <w:right w:w="0" w:type="dxa"/>
        </w:tblCellMar>
      </w:tblPr>
      <w:tblGrid>
        <w:gridCol w:w="808"/>
        <w:gridCol w:w="7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r>
                  <m:rPr/>
                  <w:rPr>
                    <w:rFonts w:hint="default" w:ascii="Cambria Math" w:hAnsi="Cambria Math"/>
                    <w:szCs w:val="21"/>
                  </w:rPr>
                  <m:t>F</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“碳达峰、碳中和”的目标符合性评分值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i/>
                <w:iCs/>
                <w:szCs w:val="21"/>
              </w:rPr>
            </w:pPr>
            <m:oMathPara>
              <m:oMath>
                <m:sSub>
                  <m:sSubPr>
                    <m:ctrlPr>
                      <w:rPr>
                        <w:rFonts w:hint="default" w:ascii="Cambria Math" w:hAnsi="Cambria Math"/>
                        <w:i/>
                        <w:szCs w:val="21"/>
                      </w:rPr>
                    </m:ctrlPr>
                  </m:sSubPr>
                  <m:e>
                    <m:r>
                      <m:rPr/>
                      <w:rPr>
                        <w:rFonts w:hint="default" w:ascii="Cambria Math" w:hAnsi="Cambria Math"/>
                        <w:szCs w:val="21"/>
                      </w:rPr>
                      <m:t>a</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评价项目</w:t>
            </w:r>
            <w:r>
              <w:rPr>
                <w:szCs w:val="21"/>
              </w:rPr>
              <w:t>第</w:t>
            </w:r>
            <m:oMath>
              <m:r>
                <m:rPr/>
                <w:rPr>
                  <w:rFonts w:hint="default" w:ascii="Cambria Math" w:hAnsi="Cambria Math"/>
                  <w:szCs w:val="21"/>
                </w:rPr>
                <m:t>t</m:t>
              </m:r>
            </m:oMath>
            <w:r>
              <w:rPr>
                <w:szCs w:val="21"/>
              </w:rPr>
              <w:t>个底层评价指标的实际评分值</w:t>
            </w:r>
            <w:r>
              <w:rPr>
                <w:rFonts w:hint="eastAsia"/>
                <w:szCs w:val="21"/>
              </w:rPr>
              <w:t>（</w:t>
            </w:r>
            <w:r>
              <w:rPr>
                <w:szCs w:val="21"/>
              </w:rPr>
              <w:t>采用德尔菲法，按照评价指标的重要性给予对应分值</w:t>
            </w:r>
            <w:r>
              <w:rPr>
                <w:rFonts w:hint="eastAsia"/>
                <w:szCs w:val="21"/>
              </w:rPr>
              <w:t>）</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0" w:type="dxa"/>
          </w:tblCellMar>
        </w:tblPrEx>
        <w:tc>
          <w:tcPr>
            <w:tcW w:w="808" w:type="dxa"/>
            <w:noWrap w:val="0"/>
            <w:vAlign w:val="top"/>
          </w:tcPr>
          <w:p>
            <w:pPr>
              <w:keepNext/>
              <w:spacing w:line="240" w:lineRule="auto"/>
              <w:jc w:val="center"/>
              <w:rPr>
                <w:rFonts w:ascii="Cambria Math" w:hAnsi="Cambria Math" w:eastAsia="黑体"/>
                <w:bCs/>
                <w:szCs w:val="21"/>
              </w:rPr>
            </w:pPr>
            <m:oMathPara>
              <m:oMath>
                <m:sSub>
                  <m:sSubPr>
                    <m:ctrlPr>
                      <w:rPr>
                        <w:rFonts w:hint="default" w:ascii="Cambria Math" w:hAnsi="Cambria Math"/>
                        <w:i/>
                        <w:szCs w:val="21"/>
                      </w:rPr>
                    </m:ctrlPr>
                  </m:sSubPr>
                  <m:e>
                    <m:r>
                      <m:rPr/>
                      <w:rPr>
                        <w:rFonts w:hint="default" w:ascii="Cambria Math" w:hAnsi="Cambria Math"/>
                        <w:szCs w:val="21"/>
                      </w:rPr>
                      <m:t>ω</m:t>
                    </m:r>
                    <m:ctrlPr>
                      <w:rPr>
                        <w:rFonts w:hint="default" w:ascii="Cambria Math" w:hAnsi="Cambria Math"/>
                        <w:i/>
                        <w:szCs w:val="21"/>
                      </w:rPr>
                    </m:ctrlPr>
                  </m:e>
                  <m:sub>
                    <m:r>
                      <m:rPr/>
                      <w:rPr>
                        <w:rFonts w:hint="default" w:ascii="Cambria Math" w:hAnsi="Cambria Math"/>
                        <w:szCs w:val="21"/>
                      </w:rPr>
                      <m:t>t</m:t>
                    </m:r>
                    <m:ctrlPr>
                      <w:rPr>
                        <w:rFonts w:hint="default" w:ascii="Cambria Math" w:hAnsi="Cambria Math"/>
                        <w:i/>
                        <w:szCs w:val="21"/>
                      </w:rPr>
                    </m:ctrlPr>
                  </m:sub>
                </m:sSub>
              </m:oMath>
            </m:oMathPara>
          </w:p>
        </w:tc>
        <w:tc>
          <w:tcPr>
            <w:tcW w:w="7567" w:type="dxa"/>
            <w:noWrap w:val="0"/>
            <w:vAlign w:val="top"/>
          </w:tcPr>
          <w:p>
            <w:pPr>
              <w:keepNext/>
              <w:spacing w:line="240" w:lineRule="auto"/>
              <w:jc w:val="left"/>
              <w:rPr>
                <w:rFonts w:ascii="Cambria Math" w:hAnsi="Cambria Math" w:eastAsia="黑体"/>
                <w:bCs/>
                <w:szCs w:val="21"/>
              </w:rPr>
            </w:pPr>
            <w:r>
              <w:rPr>
                <w:rFonts w:eastAsia="黑体"/>
                <w:bCs/>
                <w:szCs w:val="21"/>
              </w:rPr>
              <w:t>——</w:t>
            </w:r>
            <w:r>
              <w:rPr>
                <w:szCs w:val="21"/>
              </w:rPr>
              <w:t>评价项目第</w:t>
            </w:r>
            <m:oMath>
              <m:r>
                <m:rPr/>
                <w:rPr>
                  <w:rFonts w:hint="default" w:ascii="Cambria Math" w:hAnsi="Cambria Math"/>
                  <w:szCs w:val="21"/>
                </w:rPr>
                <m:t>t</m:t>
              </m:r>
            </m:oMath>
            <w:r>
              <w:rPr>
                <w:szCs w:val="21"/>
              </w:rPr>
              <w:t>个评价指标的</w:t>
            </w:r>
            <w:r>
              <w:rPr>
                <w:rFonts w:hint="eastAsia"/>
                <w:szCs w:val="21"/>
              </w:rPr>
              <w:t>应得</w:t>
            </w:r>
            <w:r>
              <w:rPr>
                <w:szCs w:val="21"/>
              </w:rPr>
              <w:t>评分值</w:t>
            </w:r>
            <w:r>
              <w:rPr>
                <w:rFonts w:hint="eastAsia" w:ascii="宋体" w:hAnsi="宋体"/>
                <w:bCs/>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8" w:type="dxa"/>
            <w:noWrap w:val="0"/>
            <w:vAlign w:val="top"/>
          </w:tcPr>
          <w:p>
            <w:pPr>
              <w:keepNext/>
              <w:spacing w:line="240" w:lineRule="auto"/>
              <w:jc w:val="center"/>
              <w:rPr>
                <w:rFonts w:ascii="Cambria Math" w:hAnsi="Cambria Math" w:eastAsia="黑体"/>
                <w:bCs/>
                <w:i/>
                <w:iCs/>
                <w:szCs w:val="21"/>
              </w:rPr>
            </w:pPr>
            <m:oMathPara>
              <m:oMath>
                <m:r>
                  <m:rPr/>
                  <w:rPr>
                    <w:rFonts w:hint="eastAsia" w:ascii="Cambria Math" w:hAnsi="Cambria Math"/>
                    <w:szCs w:val="21"/>
                  </w:rPr>
                  <m:t>t</m:t>
                </m:r>
              </m:oMath>
            </m:oMathPara>
          </w:p>
        </w:tc>
        <w:tc>
          <w:tcPr>
            <w:tcW w:w="7567" w:type="dxa"/>
            <w:noWrap w:val="0"/>
            <w:vAlign w:val="top"/>
          </w:tcPr>
          <w:p>
            <w:pPr>
              <w:keepNext/>
              <w:spacing w:line="240" w:lineRule="auto"/>
              <w:jc w:val="left"/>
              <w:rPr>
                <w:rFonts w:eastAsia="黑体"/>
                <w:bCs/>
                <w:szCs w:val="21"/>
              </w:rPr>
            </w:pPr>
            <w:r>
              <w:rPr>
                <w:rFonts w:eastAsia="黑体"/>
                <w:bCs/>
                <w:szCs w:val="21"/>
              </w:rPr>
              <w:t>——</w:t>
            </w:r>
            <w:r>
              <w:rPr>
                <w:rFonts w:hint="eastAsia"/>
                <w:szCs w:val="21"/>
              </w:rPr>
              <w:t>评价指标的序号，</w:t>
            </w:r>
            <m:oMath>
              <m:r>
                <m:rPr/>
                <w:rPr>
                  <w:rFonts w:hint="eastAsia" w:ascii="Cambria Math" w:hAnsi="Cambria Math"/>
                  <w:szCs w:val="21"/>
                </w:rPr>
                <m:t>t</m:t>
              </m:r>
              <m:r>
                <m:rPr>
                  <m:sty m:val="p"/>
                </m:rPr>
                <w:rPr>
                  <w:rFonts w:hint="default" w:ascii="Cambria Math" w:hAnsi="Cambria Math"/>
                  <w:szCs w:val="21"/>
                </w:rPr>
                <m:t>=1,2,⋯,</m:t>
              </m:r>
              <m:r>
                <m:rPr/>
                <w:rPr>
                  <w:rFonts w:hint="default" w:ascii="Cambria Math" w:hAnsi="Cambria Math"/>
                  <w:szCs w:val="21"/>
                </w:rPr>
                <m:t>T</m:t>
              </m:r>
            </m:oMath>
            <w:r>
              <w:rPr>
                <w:rFonts w:hint="eastAsia" w:ascii="宋体" w:hAnsi="宋体"/>
                <w:bCs/>
                <w:szCs w:val="21"/>
              </w:rPr>
              <w:t>。</w:t>
            </w:r>
          </w:p>
        </w:tc>
      </w:tr>
    </w:tbl>
    <w:p>
      <w:pPr>
        <w:spacing w:line="240" w:lineRule="auto"/>
        <w:ind w:firstLine="421" w:firstLineChars="200"/>
        <w:rPr>
          <w:rFonts w:eastAsia="黑体" w:cs="黑体"/>
          <w:bCs/>
          <w:sz w:val="18"/>
          <w:szCs w:val="18"/>
        </w:rPr>
      </w:pPr>
      <w:r>
        <w:rPr>
          <w:rFonts w:hint="eastAsia"/>
          <w:b/>
          <w:bCs/>
          <w:szCs w:val="21"/>
        </w:rPr>
        <w:t>3</w:t>
      </w:r>
      <w:r>
        <w:rPr>
          <w:rFonts w:hint="eastAsia"/>
          <w:szCs w:val="21"/>
        </w:rPr>
        <w:t xml:space="preserve"> </w:t>
      </w:r>
      <w:r>
        <w:rPr>
          <w:szCs w:val="21"/>
        </w:rPr>
        <w:t xml:space="preserve"> </w:t>
      </w:r>
      <w:r>
        <w:rPr>
          <w:rFonts w:hint="eastAsia"/>
          <w:szCs w:val="21"/>
        </w:rPr>
        <w:t>项目“碳达峰、碳中和”目标符合性得分可根据低碳设计评价指标体系通过层次分析法确定</w:t>
      </w:r>
      <w:r>
        <w:rPr>
          <w:szCs w:val="21"/>
        </w:rPr>
        <w:t>。</w:t>
      </w:r>
      <w:bookmarkEnd w:id="17"/>
      <w:bookmarkEnd w:id="18"/>
    </w:p>
    <w:p>
      <w:pPr>
        <w:spacing w:line="240" w:lineRule="auto"/>
        <w:ind w:left="-6"/>
        <w:jc w:val="center"/>
        <w:rPr>
          <w:rFonts w:eastAsia="黑体" w:cs="黑体"/>
          <w:bCs/>
          <w:sz w:val="18"/>
          <w:szCs w:val="18"/>
        </w:rPr>
      </w:pPr>
      <w:bookmarkStart w:id="335" w:name="OLE_LINK200"/>
      <w:r>
        <w:rPr>
          <w:rFonts w:hint="eastAsia" w:eastAsia="黑体" w:cs="黑体"/>
          <w:bCs/>
          <w:sz w:val="18"/>
          <w:szCs w:val="18"/>
        </w:rPr>
        <w:t>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bookmarkEnd w:id="335"/>
      <w:r>
        <w:rPr>
          <w:rFonts w:ascii="宋体" w:hAnsi="宋体" w:cs="黑体"/>
          <w:bCs/>
          <w:sz w:val="18"/>
          <w:szCs w:val="18"/>
        </w:rPr>
        <w:t xml:space="preserve">  </w:t>
      </w:r>
      <w:r>
        <w:rPr>
          <w:rFonts w:eastAsia="黑体" w:cs="黑体"/>
          <w:bCs/>
          <w:sz w:val="18"/>
          <w:szCs w:val="18"/>
        </w:rPr>
        <w:t>低碳设计</w:t>
      </w:r>
      <w:r>
        <w:rPr>
          <w:rFonts w:hint="eastAsia" w:eastAsia="黑体" w:cs="黑体"/>
          <w:bCs/>
          <w:sz w:val="18"/>
          <w:szCs w:val="18"/>
        </w:rPr>
        <w:t>评价指标体系</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bookmarkStart w:id="336" w:name="_Hlk211602830"/>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总体、路线设计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充分利用荒地、空地、废弃地、劣地等布线，减少沿线建筑、居民区、电力电讯等设施的拆迁量。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bookmarkStart w:id="337" w:name="OLE_LINK238"/>
            <w:bookmarkStart w:id="338" w:name="OLE_LINK239"/>
            <w:r>
              <w:rPr>
                <w:rFonts w:hint="eastAsia" w:cs="宋体"/>
                <w:sz w:val="15"/>
                <w:szCs w:val="18"/>
              </w:rPr>
              <w:t>制定高填路堤与桥梁、深挖路堑与隧道、分离式路基、分离式隧道等的论证比选方案。</w:t>
            </w:r>
            <w:bookmarkEnd w:id="337"/>
            <w:bookmarkEnd w:id="3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采用避绕自然保护区、野生动物保护地、重要湿地等生态敏感区的方案，无法避绕时，出具生态保护方案。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就地取材，最大限度地利用地方材料。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利用BIM技术对设计方案进行综合评估，包括可行性研究、材料选择、施工工艺等方面。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bookmarkStart w:id="339" w:name="OLE_LINK82"/>
            <w:r>
              <w:rPr>
                <w:rFonts w:hint="eastAsia" w:cs="宋体"/>
                <w:sz w:val="15"/>
                <w:szCs w:val="18"/>
              </w:rPr>
              <w:t>在自然和气候条件允许的区域，交通安全设施及机电设施采用风电、光电、风光互补、水电等可再生能源。</w:t>
            </w:r>
            <w:bookmarkEnd w:id="3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路基路面材料</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8</w:t>
            </w:r>
          </w:p>
        </w:tc>
        <w:tc>
          <w:tcPr>
            <w:tcW w:w="4345" w:type="pct"/>
            <w:noWrap w:val="0"/>
            <w:vAlign w:val="center"/>
          </w:tcPr>
          <w:p>
            <w:pPr>
              <w:spacing w:line="240" w:lineRule="auto"/>
              <w:jc w:val="center"/>
              <w:rPr>
                <w:rFonts w:cs="宋体"/>
                <w:sz w:val="15"/>
                <w:szCs w:val="18"/>
              </w:rPr>
            </w:pPr>
            <w:r>
              <w:rPr>
                <w:rFonts w:hint="eastAsia" w:cs="宋体"/>
                <w:sz w:val="15"/>
                <w:szCs w:val="18"/>
              </w:rPr>
              <w:t>运用新型材料包括聚合物水泥混凝土、高强轻质混凝土、高性能水泥基复合材料、高承载半柔性路面材料等。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利用粉煤灰、煤矸石、矿渣及废旧轮胎等工业固废、建筑固废、城市垃圾以及其他土建工程的废弃土石方等替代部分筑路材料。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采用碱激发剂激发粉煤灰、矿渣等工业固废的有效活性成分的胶凝材料。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对旧路面材料再生利用，包括沥青路面再生、水泥路面碎石化再利用等。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采用隧道弃渣填筑路基或加工成砂石料、集料等。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采用温拌沥青、橡胶沥青、泡沫沥青等混合料。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利用</w:t>
            </w:r>
            <w:bookmarkStart w:id="340" w:name="OLE_LINK48"/>
            <w:bookmarkStart w:id="341" w:name="OLE_LINK49"/>
            <w:r>
              <w:rPr>
                <w:rFonts w:hint="eastAsia" w:cs="宋体"/>
                <w:sz w:val="15"/>
                <w:szCs w:val="18"/>
              </w:rPr>
              <w:t>就地固化工艺</w:t>
            </w:r>
            <w:bookmarkEnd w:id="340"/>
            <w:bookmarkEnd w:id="341"/>
            <w:r>
              <w:rPr>
                <w:rFonts w:hint="eastAsia" w:cs="宋体"/>
                <w:sz w:val="15"/>
                <w:szCs w:val="18"/>
              </w:rPr>
              <w:t>包括高强高耐水土体固结剂（HEC）固结渣土或土等；采用水泥稳定建筑废弃物、水泥稳定废旧混凝土等。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结合道路技术等级、结构层位、气候条件、水文条件、交通情况及施工能耗等工程建设条件，选择经济耐久和低碳的路面材料。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路基</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根据道路功能、技术等级、交通量及交通组成，结合沿线地形、地质及气候环境等因素，以耐久和低碳为原则，确定路基结构。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选择与工程相适应的低路堤和浅路堑等方案，路基边坡顺应自然。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路面</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4</w:t>
            </w:r>
          </w:p>
        </w:tc>
        <w:tc>
          <w:tcPr>
            <w:tcW w:w="4345" w:type="pct"/>
            <w:noWrap w:val="0"/>
            <w:vAlign w:val="center"/>
          </w:tcPr>
          <w:p>
            <w:pPr>
              <w:spacing w:line="240" w:lineRule="auto"/>
              <w:jc w:val="center"/>
              <w:rPr>
                <w:rFonts w:cs="宋体"/>
                <w:sz w:val="15"/>
                <w:szCs w:val="18"/>
              </w:rPr>
            </w:pPr>
            <w:r>
              <w:rPr>
                <w:rFonts w:hint="eastAsia" w:cs="宋体"/>
                <w:sz w:val="15"/>
                <w:szCs w:val="18"/>
              </w:rPr>
              <w:t>采用耐久性路面结构、高性能混凝土等技术途径，提高路面使用寿命。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在不影响路面正常性能的前提下，应用透水性、低噪音等功能型环保路面。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采用温拌沥青路面混合料节能技术；拌和站采用清洁能源替代燃煤、燃油。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通过合理的路面厚度设计、截面形状和排水系统设置，减少路面受损和变形，延长路面使用寿命，降低维护和修复成本。</w:t>
            </w:r>
          </w:p>
        </w:tc>
      </w:tr>
      <w:bookmarkEnd w:id="336"/>
    </w:tbl>
    <w:p>
      <w:pPr>
        <w:jc w:val="center"/>
        <w:rPr>
          <w:rFonts w:eastAsia="黑体" w:cs="黑体"/>
          <w:bCs/>
          <w:sz w:val="18"/>
          <w:szCs w:val="18"/>
        </w:rPr>
      </w:pPr>
      <w:bookmarkStart w:id="342" w:name="_Toc160030740"/>
      <w:bookmarkStart w:id="343" w:name="_Toc160032827"/>
      <w:bookmarkStart w:id="344" w:name="_Toc160031002"/>
      <w:bookmarkStart w:id="345" w:name="_Toc161134684"/>
    </w:p>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技术指标设计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7</w:t>
            </w:r>
          </w:p>
        </w:tc>
        <w:tc>
          <w:tcPr>
            <w:tcW w:w="4345" w:type="pct"/>
            <w:noWrap w:val="0"/>
            <w:vAlign w:val="center"/>
          </w:tcPr>
          <w:p>
            <w:pPr>
              <w:spacing w:line="240" w:lineRule="auto"/>
              <w:jc w:val="center"/>
              <w:rPr>
                <w:rFonts w:cs="宋体"/>
                <w:sz w:val="15"/>
                <w:szCs w:val="18"/>
              </w:rPr>
            </w:pPr>
            <w:r>
              <w:rPr>
                <w:rFonts w:hint="eastAsia" w:cs="宋体"/>
                <w:sz w:val="15"/>
                <w:szCs w:val="18"/>
              </w:rPr>
              <w:t>结合地形条件、周围环境及车辆行驶要求，按照综合效益高、服务质量好、综合能耗低的原则布设。减少车流与人流之间的干扰，并合理选择技术指标。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路线的平面、纵断面、横断面线形指标自然顺畅，达到挖填土石方量平衡。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平曲线半径、纵坡坡度和坡长不宜使车辆频繁制动。路线方案选择和路线布设时，避免在设计中使用连续长大坡。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因地形、地质条件限制必须设在曲线上时，隧道采用较大的平曲线半径。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对于地形变化较大的路段，合理确定最大坡度、坡段长度、坡段连接和坡度折减等指标，以适应地形和行驶速度的变化。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路线交叉型式和规模选取工程量和占地少、通行能力高、车流顺畅运行的技术指标。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同一建设项目的不同路段选择与地理位置和技术指标相匹配的设计速度。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桥梁、隧道设计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5</w:t>
            </w:r>
          </w:p>
        </w:tc>
        <w:tc>
          <w:tcPr>
            <w:tcW w:w="4345" w:type="pct"/>
            <w:noWrap w:val="0"/>
            <w:vAlign w:val="center"/>
          </w:tcPr>
          <w:p>
            <w:pPr>
              <w:spacing w:line="240" w:lineRule="auto"/>
              <w:jc w:val="center"/>
              <w:rPr>
                <w:rFonts w:cs="宋体"/>
                <w:sz w:val="15"/>
                <w:szCs w:val="18"/>
              </w:rPr>
            </w:pPr>
            <w:r>
              <w:rPr>
                <w:rFonts w:hint="eastAsia" w:cs="宋体"/>
                <w:sz w:val="15"/>
                <w:szCs w:val="18"/>
              </w:rPr>
              <w:t>对桥梁、隧道等主要构造物的位置、规模、结构及设备节能评估。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对采用高路堤、深路堑路段和支挡防护设施与路基进行多方案比选。当路堤高度大于20m时，采用桥梁方案；当挖方路中深度大于30m或挖方边坡高度大于1.6倍的路基宽度值时，采用隧道方案。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使用轻质但具有足够强度和刚度的结构材料，包括高性能钢、钢-混凝土组合和全预制拼装预应力混凝土结构。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注重结构设计体系化、构件标准化、制造工厂化、加工自动化、现场安装装配化、建造运维信息化和拆除部件再利用化。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选用电力驱动机械设备占比40%以上，实现对施工过程的精确控制和高度自动化。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桥梁</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选择桥梁总长度短、与引道衔接顺畅、便于施工和材料运输的设计方案。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桥孔充分利用地形条件，减少大填大挖工程量和大型深水基础施工。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跨径在50m以下的桥梁采用标准化跨径，并采用装配式结构及机械化、工厂化施工。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桥梁设计考虑养护需求，按照可到达、可检查、可维修和可更换的原则，为运营期检修与养护做好预留预埋。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取土场不设置在桥头引道两侧。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采用钢筋混凝土高耐久化、混凝土高性能化、原材料低碳化和混凝土制品低能耗养护等关键技术手段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隧道</w:t>
            </w:r>
          </w:p>
          <w:p>
            <w:pPr>
              <w:spacing w:line="240" w:lineRule="auto"/>
              <w:jc w:val="center"/>
              <w:rPr>
                <w:rFonts w:cs="宋体"/>
                <w:sz w:val="15"/>
                <w:szCs w:val="18"/>
              </w:rPr>
            </w:pPr>
            <w:r>
              <w:rPr>
                <w:rFonts w:hint="eastAsia" w:cs="宋体"/>
                <w:sz w:val="15"/>
                <w:szCs w:val="18"/>
              </w:rPr>
              <w:t>结构</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从选址、土建结构、通风、照明和消防等方面节能设计。隧道监控、通信、消防、给水等设施选用经济、高效的节能型产品。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隧道两侧墙根据所属道路技术等级、围岩条件、交通构成及工程造价等因素，选择反射率高的墙面材料。隧道洞内外采用反光标志、自发光标志或材料。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有条件的情况下，隧道采用零开挖进洞。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充分利用自然通风，选择经济节能的通风方案和运营通风控制策略。根据隧道内环境参数，自动无级调控隧道内射流风机转速，使供风量与隧道正常运营和防灾应急所需风量保持一致，提高节能效果。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对可能造成大气环境污染物超标的隧道洞口及排风口采取竖井分散排放方式或空气净化处理措施，降低废气排放浓度。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各类废水及敞开部分的雨水分类集中，采用高水高排、低水低排、互不连通的系统就近排放，并采用分级排放废水措施。</w:t>
            </w:r>
          </w:p>
        </w:tc>
      </w:tr>
    </w:tbl>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隧道</w:t>
            </w:r>
          </w:p>
          <w:p>
            <w:pPr>
              <w:spacing w:line="240" w:lineRule="auto"/>
              <w:jc w:val="center"/>
              <w:rPr>
                <w:rFonts w:cs="宋体"/>
                <w:sz w:val="15"/>
                <w:szCs w:val="18"/>
              </w:rPr>
            </w:pPr>
            <w:r>
              <w:rPr>
                <w:rFonts w:hint="eastAsia" w:cs="宋体"/>
                <w:sz w:val="15"/>
                <w:szCs w:val="18"/>
              </w:rPr>
              <w:t>洞口</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端墙式洞门墙面采用暗色且反射率小于0.17的低反射率材料。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隧道洞门形式采用削竹式等利于充分利用自然光的设计。洞口减光设计就地取材采用绿化带减光、遮阳棚、遮光棚及通透式棚洞等方式。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经硬化处理的隧道洞口边仰坡进行暗化处理。隧道洞口外，至少一个停车视距长度的路面采用黑色路面。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cs="宋体"/>
                <w:sz w:val="15"/>
                <w:szCs w:val="18"/>
              </w:rPr>
              <w:t>交叉</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互通交叉布线与现场地形、地物相协调，少占城市用地、少拆迁房屋及电力、电讯设施。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分离式交叉方案统筹考虑占地和土石方平衡和调运等因素，合理设置上跨或下穿方案；转向交通量大的平面交叉，进行渠化设计，设置专用转向车道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照明</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道路照明设计充分利用自然光，降低照明需求。隧道照明制定分级调光或动态调光方案及运营管理策略。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采用可再生能源供电的道路照明设备，包括道路沿线照明、隧道照明、桥梁照明、服务区照明等。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场区照明根据使用需求分区、分组控制，采用光控、时控等自动控制方式或集中控制方式。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亮度</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道路照明设计合理选择照明亮度指标、光源、灯具、布设方案等设计参数及照明控制策略。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采用高光效节能光源和高效能节能灯具。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单灯的功率因数不低于0.9，系统回路功率因数不低于0.95。当功率因数不满足上述要求时，采取功率因数补偿措施。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照明</w:t>
            </w:r>
          </w:p>
          <w:p>
            <w:pPr>
              <w:spacing w:line="240" w:lineRule="auto"/>
              <w:jc w:val="center"/>
              <w:rPr>
                <w:rFonts w:cs="宋体"/>
                <w:sz w:val="15"/>
                <w:szCs w:val="18"/>
              </w:rPr>
            </w:pPr>
            <w:r>
              <w:rPr>
                <w:rFonts w:hint="eastAsia" w:cs="宋体"/>
                <w:sz w:val="15"/>
                <w:szCs w:val="18"/>
              </w:rPr>
              <w:t>光源</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LED灯不低于120LM/W；</w:t>
            </w:r>
          </w:p>
          <w:p>
            <w:pPr>
              <w:spacing w:line="240" w:lineRule="auto"/>
              <w:jc w:val="center"/>
              <w:rPr>
                <w:rFonts w:cs="宋体"/>
                <w:sz w:val="15"/>
                <w:szCs w:val="18"/>
              </w:rPr>
            </w:pPr>
            <w:r>
              <w:rPr>
                <w:rFonts w:hint="eastAsia" w:cs="宋体"/>
                <w:sz w:val="15"/>
                <w:szCs w:val="18"/>
              </w:rPr>
              <w:t>高压钠灯不低于110LM/W（250W以上）；</w:t>
            </w:r>
          </w:p>
          <w:p>
            <w:pPr>
              <w:spacing w:line="240" w:lineRule="auto"/>
              <w:jc w:val="center"/>
              <w:rPr>
                <w:rFonts w:cs="宋体"/>
                <w:sz w:val="15"/>
                <w:szCs w:val="18"/>
              </w:rPr>
            </w:pPr>
            <w:r>
              <w:rPr>
                <w:rFonts w:hint="eastAsia" w:cs="宋体"/>
                <w:sz w:val="15"/>
                <w:szCs w:val="18"/>
              </w:rPr>
              <w:t>荧光灯不低于80LM/W；</w:t>
            </w:r>
          </w:p>
          <w:p>
            <w:pPr>
              <w:spacing w:line="240" w:lineRule="auto"/>
              <w:jc w:val="center"/>
              <w:rPr>
                <w:rFonts w:cs="宋体"/>
                <w:sz w:val="15"/>
                <w:szCs w:val="18"/>
              </w:rPr>
            </w:pPr>
            <w:r>
              <w:rPr>
                <w:rFonts w:hint="eastAsia" w:cs="宋体"/>
                <w:sz w:val="15"/>
                <w:szCs w:val="18"/>
              </w:rPr>
              <w:t>金属卤化物灯不低于90LM/W（250W以上）。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其他节能光源不低于100LM/W。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绿化</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选择适应当地气候条件、具有耐污染、抗逆性强、易生长和抗病虫害特性的绿化物种，以提高绿化的生存率和景观效果。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采用多层次、多种类的绿化设计，包括树木、花草等组合，以增加绿化覆盖面积和景观吸引力。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在隧道洞口外两端光线明暗变化段，栽植高大乔木过渡。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在中央分隔带、主线与辅道或平行的铁路之间，栽植常绿矮树等，以隔断对向车流的眩光。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合理规划绿化带宽度，最大限度减少对土地的占用。优化道路布局和绿化设计，保留足够的空间供绿化以及行人和非机动车通行。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腐殖土改善土壤的结构和生态修复。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供电及监测</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4</w:t>
            </w:r>
          </w:p>
        </w:tc>
        <w:tc>
          <w:tcPr>
            <w:tcW w:w="4345" w:type="pct"/>
            <w:noWrap w:val="0"/>
            <w:vAlign w:val="center"/>
          </w:tcPr>
          <w:p>
            <w:pPr>
              <w:spacing w:line="240" w:lineRule="auto"/>
              <w:jc w:val="center"/>
              <w:rPr>
                <w:rFonts w:cs="宋体"/>
                <w:sz w:val="15"/>
                <w:szCs w:val="18"/>
              </w:rPr>
            </w:pPr>
            <w:r>
              <w:rPr>
                <w:rFonts w:hint="eastAsia" w:cs="宋体"/>
                <w:sz w:val="15"/>
                <w:szCs w:val="18"/>
              </w:rPr>
              <w:t>空调、消防、照明、机电设备等负荷分回路供电和监测。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动力负荷较大且用电时间集中的场区将动力与其他负荷分设变压器。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高能耗设备采用变频调速等节能技术。</w:t>
            </w:r>
          </w:p>
        </w:tc>
      </w:tr>
    </w:tbl>
    <w:p>
      <w:pPr>
        <w:jc w:val="center"/>
        <w:rPr>
          <w:rFonts w:eastAsia="黑体" w:cs="黑体"/>
          <w:bCs/>
          <w:sz w:val="18"/>
          <w:szCs w:val="18"/>
        </w:rPr>
      </w:pPr>
    </w:p>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p>
        </w:tc>
        <w:tc>
          <w:tcPr>
            <w:tcW w:w="236" w:type="pct"/>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电力监测与计量装置的准确度等级不低于1.0级，且具有符合行业标准的物理接口，采用标准开放协议。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功率</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6</w:t>
            </w:r>
          </w:p>
        </w:tc>
        <w:tc>
          <w:tcPr>
            <w:tcW w:w="4345" w:type="pct"/>
            <w:noWrap w:val="0"/>
            <w:vAlign w:val="center"/>
          </w:tcPr>
          <w:p>
            <w:pPr>
              <w:spacing w:line="240" w:lineRule="auto"/>
              <w:jc w:val="center"/>
              <w:rPr>
                <w:rFonts w:cs="宋体"/>
                <w:sz w:val="15"/>
                <w:szCs w:val="18"/>
              </w:rPr>
            </w:pPr>
            <w:r>
              <w:rPr>
                <w:rFonts w:hint="eastAsia" w:cs="宋体"/>
                <w:sz w:val="15"/>
                <w:szCs w:val="18"/>
              </w:rPr>
              <w:t>供配电系统从合理选择电压、提高功率因数、降低线损、降低供电设备损耗、降低管理能耗比例、提高供电质量等方面节能设计。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供配电系统根据沿线各用能设施的功能及用能特点配置经济、低能耗的供电设备。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变配电点靠近负荷中心，减少配电级数，降低电能损失。道路沿线变配电站出线电压根据所选用电压计算电缆截面，减少电能线路损失。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高压系统功率因数不低于0.95，低压系统不低于0.90。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各级配电变压器选用节能型变压器，设计负载率取70%~85%。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电网正常运行时，负序电压不平衡度不超过2%，短时不超过4%。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监控、通信和</w:t>
            </w:r>
            <w:r>
              <w:rPr>
                <w:rFonts w:hint="eastAsia" w:cs="宋体"/>
                <w:sz w:val="15"/>
                <w:szCs w:val="18"/>
                <w:lang w:bidi="ar"/>
              </w:rPr>
              <w:t>附属设施</w:t>
            </w:r>
            <w:r>
              <w:rPr>
                <w:rFonts w:hint="eastAsia" w:cs="宋体"/>
                <w:sz w:val="15"/>
                <w:szCs w:val="18"/>
              </w:rPr>
              <w:t>设计</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对沿线互通、附属设施的总平面布置评估，制定节能措施。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从节能角度判断项目平面布置是否有利于提高路网通行能力、缩短车辆行驶距离和能源供应输送距离。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分别对道路管理站、养护工区等配套设施的建筑、给排水、照明、供配电和采暖等方案进行分析和评估，提出节能措施。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智能</w:t>
            </w:r>
          </w:p>
          <w:p>
            <w:pPr>
              <w:spacing w:line="240" w:lineRule="auto"/>
              <w:jc w:val="center"/>
              <w:rPr>
                <w:rFonts w:cs="宋体"/>
                <w:sz w:val="15"/>
                <w:szCs w:val="18"/>
              </w:rPr>
            </w:pPr>
            <w:r>
              <w:rPr>
                <w:rFonts w:hint="eastAsia" w:cs="宋体"/>
                <w:sz w:val="15"/>
                <w:szCs w:val="18"/>
              </w:rPr>
              <w:t>监控</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设计隧道通风智能控制系统，对隧道内废气浓度、气流风速等环境数据和交通量变化情况进行实时监控。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设计采用车辆超限不停车预检管理系统、提前对车辆进行超限预判和分拣。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机房、结算中心等电子设备集中的地方，自然通风不能满足室内环境参数要求时，进行散热、冷却系统设计，选择节能的供配电与散热系统。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房屋</w:t>
            </w:r>
          </w:p>
          <w:p>
            <w:pPr>
              <w:spacing w:line="240" w:lineRule="auto"/>
              <w:jc w:val="center"/>
              <w:rPr>
                <w:rFonts w:cs="宋体"/>
                <w:sz w:val="15"/>
                <w:szCs w:val="18"/>
              </w:rPr>
            </w:pPr>
            <w:r>
              <w:rPr>
                <w:rFonts w:hint="eastAsia" w:cs="宋体"/>
                <w:sz w:val="15"/>
                <w:szCs w:val="18"/>
              </w:rPr>
              <w:t>建筑</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5</w:t>
            </w:r>
          </w:p>
        </w:tc>
        <w:tc>
          <w:tcPr>
            <w:tcW w:w="4345" w:type="pct"/>
            <w:noWrap w:val="0"/>
            <w:vAlign w:val="center"/>
          </w:tcPr>
          <w:p>
            <w:pPr>
              <w:spacing w:line="240" w:lineRule="auto"/>
              <w:jc w:val="center"/>
              <w:rPr>
                <w:rFonts w:cs="宋体"/>
                <w:sz w:val="15"/>
                <w:szCs w:val="18"/>
              </w:rPr>
            </w:pPr>
            <w:r>
              <w:rPr>
                <w:rFonts w:hint="eastAsia" w:cs="宋体"/>
                <w:sz w:val="15"/>
                <w:szCs w:val="18"/>
              </w:rPr>
              <w:t>道路房屋建筑从选址、平面布置、建筑节能等方面进行节能设计。道路房屋建筑结合建筑气候分区特点，充分利用日照、风向、地形和环境等自然条件，减少建筑用能。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道路房屋建筑根据建筑内各功能用房对室内温度的不同要求，通过建筑空间布局，形成温度过渡空间。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天棚屋面采用遮光性较好的材料，当采用透光性强的天棚屋面时，其透明部分面积不大于天棚屋面总面积的20%。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空气调节与供冷设备集中设置。设备的选择根据建筑规模、使用要求，结合当地能源条件、环境保护规定确定。根据项目所在地太阳能、地热源和天然水资源情况，合理利用太阳能和地（水）源热泵供冷、供热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道路房屋建筑设计为所选用的可再生能源做预留预埋，提供施工安装条件。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r>
              <w:rPr>
                <w:rFonts w:hint="eastAsia" w:cs="宋体"/>
                <w:sz w:val="15"/>
                <w:szCs w:val="18"/>
              </w:rPr>
              <w:t>节能</w:t>
            </w:r>
          </w:p>
          <w:p>
            <w:pPr>
              <w:spacing w:line="240" w:lineRule="auto"/>
              <w:jc w:val="center"/>
              <w:rPr>
                <w:rFonts w:cs="宋体"/>
                <w:sz w:val="15"/>
                <w:szCs w:val="18"/>
              </w:rPr>
            </w:pPr>
            <w:r>
              <w:rPr>
                <w:rFonts w:hint="eastAsia" w:cs="宋体"/>
                <w:sz w:val="15"/>
                <w:szCs w:val="18"/>
              </w:rPr>
              <w:t>设备</w:t>
            </w:r>
          </w:p>
        </w:tc>
        <w:tc>
          <w:tcPr>
            <w:tcW w:w="236" w:type="pc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选择经济高效的节能型设备，包括但不限于：制冷空调设备；热水器；炊事机械；变压器。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燃气</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2</w:t>
            </w:r>
          </w:p>
        </w:tc>
        <w:tc>
          <w:tcPr>
            <w:tcW w:w="4345" w:type="pct"/>
            <w:noWrap w:val="0"/>
            <w:vAlign w:val="center"/>
          </w:tcPr>
          <w:p>
            <w:pPr>
              <w:spacing w:line="240" w:lineRule="auto"/>
              <w:jc w:val="center"/>
              <w:rPr>
                <w:rFonts w:cs="宋体"/>
                <w:sz w:val="15"/>
                <w:szCs w:val="18"/>
              </w:rPr>
            </w:pPr>
            <w:r>
              <w:rPr>
                <w:rFonts w:hint="eastAsia" w:cs="宋体"/>
                <w:sz w:val="15"/>
                <w:szCs w:val="18"/>
              </w:rPr>
              <w:t>合理规划、改迁和新建燃气管道，提高燃气管网输气能力。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考虑设立套管、管沟等防护措施，并进行管道管材、结构防腐、绝缘层、沟底填充物和回填土等低碳设计。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hint="eastAsia" w:cs="宋体"/>
                <w:sz w:val="15"/>
                <w:szCs w:val="18"/>
              </w:rPr>
              <w:t>给水</w:t>
            </w:r>
          </w:p>
          <w:p>
            <w:pPr>
              <w:spacing w:line="240" w:lineRule="auto"/>
              <w:jc w:val="center"/>
              <w:rPr>
                <w:rFonts w:cs="宋体"/>
                <w:sz w:val="15"/>
                <w:szCs w:val="18"/>
              </w:rPr>
            </w:pPr>
            <w:r>
              <w:rPr>
                <w:rFonts w:hint="eastAsia" w:cs="宋体"/>
                <w:sz w:val="15"/>
                <w:szCs w:val="18"/>
              </w:rPr>
              <w:t>排水</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4</w:t>
            </w:r>
          </w:p>
        </w:tc>
        <w:tc>
          <w:tcPr>
            <w:tcW w:w="4345" w:type="pct"/>
            <w:noWrap w:val="0"/>
            <w:vAlign w:val="center"/>
          </w:tcPr>
          <w:p>
            <w:pPr>
              <w:spacing w:line="240" w:lineRule="auto"/>
              <w:jc w:val="center"/>
              <w:rPr>
                <w:rFonts w:cs="宋体"/>
                <w:sz w:val="15"/>
                <w:szCs w:val="18"/>
              </w:rPr>
            </w:pPr>
            <w:r>
              <w:rPr>
                <w:rFonts w:hint="eastAsia" w:cs="宋体"/>
                <w:sz w:val="15"/>
                <w:szCs w:val="18"/>
              </w:rPr>
              <w:t>给排水设计采用循环用水、一水多用的节水系统。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生产、生活用水采用节水器具，卫生器具选用符合国家和行业现行标准的节水型产品。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场区给排水管网充分利用建筑场地高程，结合道路沿线排水系统合理布置，减少中间提升环节。</w:t>
            </w:r>
          </w:p>
        </w:tc>
      </w:tr>
    </w:tbl>
    <w:p>
      <w:pPr>
        <w:jc w:val="center"/>
      </w:pPr>
      <w:r>
        <w:rPr>
          <w:rFonts w:hint="eastAsia" w:eastAsia="黑体" w:cs="黑体"/>
          <w:bCs/>
          <w:sz w:val="18"/>
          <w:szCs w:val="18"/>
        </w:rPr>
        <w:t>续表</w:t>
      </w:r>
      <w:r>
        <w:rPr>
          <w:rFonts w:hint="eastAsia" w:eastAsia="黑体" w:cs="黑体"/>
          <w:b/>
          <w:sz w:val="18"/>
          <w:szCs w:val="18"/>
        </w:rPr>
        <w:t>8</w:t>
      </w:r>
      <w:r>
        <w:rPr>
          <w:rFonts w:hint="eastAsia" w:ascii="宋体" w:hAnsi="宋体"/>
          <w:b/>
          <w:bCs/>
          <w:szCs w:val="21"/>
        </w:rPr>
        <w:t>.</w:t>
      </w:r>
      <w:r>
        <w:rPr>
          <w:rFonts w:hint="eastAsia" w:eastAsia="黑体" w:cs="黑体"/>
          <w:b/>
          <w:sz w:val="18"/>
          <w:szCs w:val="18"/>
        </w:rPr>
        <w:t>3</w:t>
      </w:r>
      <w:r>
        <w:rPr>
          <w:rFonts w:hint="eastAsia" w:ascii="宋体" w:hAnsi="宋体"/>
          <w:b/>
          <w:bCs/>
          <w:szCs w:val="21"/>
        </w:rPr>
        <w:t>.</w:t>
      </w:r>
      <w:r>
        <w:rPr>
          <w:rFonts w:hint="eastAsia" w:eastAsia="黑体" w:cs="黑体"/>
          <w:b/>
          <w:sz w:val="18"/>
          <w:szCs w:val="18"/>
        </w:rPr>
        <w:t>4-2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447"/>
        <w:gridCol w:w="8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9" w:type="pct"/>
            <w:noWrap w:val="0"/>
            <w:vAlign w:val="center"/>
          </w:tcPr>
          <w:p>
            <w:pPr>
              <w:spacing w:line="240" w:lineRule="auto"/>
              <w:jc w:val="center"/>
              <w:rPr>
                <w:rFonts w:cs="宋体"/>
                <w:b/>
                <w:bCs/>
                <w:sz w:val="15"/>
                <w:szCs w:val="18"/>
              </w:rPr>
            </w:pPr>
            <w:r>
              <w:rPr>
                <w:rFonts w:hint="eastAsia" w:cs="宋体"/>
                <w:b/>
                <w:bCs/>
                <w:sz w:val="15"/>
                <w:szCs w:val="18"/>
              </w:rPr>
              <w:t>一级</w:t>
            </w:r>
          </w:p>
          <w:p>
            <w:pPr>
              <w:spacing w:line="240" w:lineRule="auto"/>
              <w:jc w:val="center"/>
              <w:rPr>
                <w:rFonts w:cs="宋体"/>
                <w:b/>
                <w:bCs/>
                <w:sz w:val="15"/>
                <w:szCs w:val="18"/>
              </w:rPr>
            </w:pPr>
            <w:r>
              <w:rPr>
                <w:rFonts w:hint="eastAsia" w:cs="宋体"/>
                <w:b/>
                <w:bCs/>
                <w:sz w:val="15"/>
                <w:szCs w:val="18"/>
              </w:rPr>
              <w:t>指标</w:t>
            </w:r>
          </w:p>
        </w:tc>
        <w:tc>
          <w:tcPr>
            <w:tcW w:w="236" w:type="pct"/>
            <w:noWrap w:val="0"/>
            <w:vAlign w:val="center"/>
          </w:tcPr>
          <w:p>
            <w:pPr>
              <w:spacing w:line="240" w:lineRule="auto"/>
              <w:jc w:val="center"/>
              <w:rPr>
                <w:rFonts w:cs="宋体"/>
                <w:b/>
                <w:bCs/>
                <w:sz w:val="15"/>
                <w:szCs w:val="18"/>
              </w:rPr>
            </w:pPr>
            <w:r>
              <w:rPr>
                <w:rFonts w:hint="eastAsia" w:cs="宋体"/>
                <w:b/>
                <w:bCs/>
                <w:sz w:val="15"/>
                <w:szCs w:val="18"/>
              </w:rPr>
              <w:t>满分</w:t>
            </w:r>
          </w:p>
        </w:tc>
        <w:tc>
          <w:tcPr>
            <w:tcW w:w="4345" w:type="pct"/>
            <w:noWrap w:val="0"/>
            <w:vAlign w:val="center"/>
          </w:tcPr>
          <w:p>
            <w:pPr>
              <w:spacing w:line="240" w:lineRule="auto"/>
              <w:jc w:val="center"/>
              <w:rPr>
                <w:rFonts w:cs="宋体"/>
                <w:b/>
                <w:bCs/>
                <w:sz w:val="15"/>
                <w:szCs w:val="18"/>
              </w:rPr>
            </w:pPr>
            <w:r>
              <w:rPr>
                <w:rFonts w:hint="eastAsia" w:cs="宋体"/>
                <w:b/>
                <w:bCs/>
                <w:sz w:val="15"/>
                <w:szCs w:val="18"/>
              </w:rPr>
              <w:t>二级指标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p>
        </w:tc>
        <w:tc>
          <w:tcPr>
            <w:tcW w:w="236" w:type="pct"/>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排、蓄水工程一体设计，配备蓄水设施收集路面径流。排水工程与天然水系相协调。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restart"/>
            <w:noWrap w:val="0"/>
            <w:vAlign w:val="center"/>
          </w:tcPr>
          <w:p>
            <w:pPr>
              <w:spacing w:line="240" w:lineRule="auto"/>
              <w:jc w:val="center"/>
              <w:rPr>
                <w:rFonts w:cs="宋体"/>
                <w:sz w:val="15"/>
                <w:szCs w:val="18"/>
              </w:rPr>
            </w:pPr>
            <w:r>
              <w:rPr>
                <w:rFonts w:cs="宋体"/>
                <w:sz w:val="15"/>
                <w:szCs w:val="18"/>
              </w:rPr>
              <w:t>标志、标线和诱导设施</w:t>
            </w:r>
          </w:p>
        </w:tc>
        <w:tc>
          <w:tcPr>
            <w:tcW w:w="236" w:type="pct"/>
            <w:vMerge w:val="restart"/>
            <w:noWrap w:val="0"/>
            <w:vAlign w:val="center"/>
          </w:tcPr>
          <w:p>
            <w:pPr>
              <w:spacing w:line="240" w:lineRule="auto"/>
              <w:jc w:val="center"/>
              <w:rPr>
                <w:rFonts w:cs="宋体"/>
                <w:sz w:val="15"/>
                <w:szCs w:val="18"/>
              </w:rPr>
            </w:pPr>
            <w:r>
              <w:rPr>
                <w:rFonts w:hint="eastAsia" w:cs="宋体"/>
                <w:sz w:val="15"/>
                <w:szCs w:val="18"/>
              </w:rPr>
              <w:t>3</w:t>
            </w:r>
          </w:p>
        </w:tc>
        <w:tc>
          <w:tcPr>
            <w:tcW w:w="4345" w:type="pct"/>
            <w:noWrap w:val="0"/>
            <w:vAlign w:val="center"/>
          </w:tcPr>
          <w:p>
            <w:pPr>
              <w:spacing w:line="240" w:lineRule="auto"/>
              <w:jc w:val="center"/>
              <w:rPr>
                <w:rFonts w:cs="宋体"/>
                <w:sz w:val="15"/>
                <w:szCs w:val="18"/>
              </w:rPr>
            </w:pPr>
            <w:r>
              <w:rPr>
                <w:rFonts w:hint="eastAsia" w:cs="宋体"/>
                <w:sz w:val="15"/>
                <w:szCs w:val="18"/>
              </w:rPr>
              <w:t>交通标线开展采用低VOC排放量的MMA双组份标线材料、树脂类预成型标线带、自降解临时标线等技术在标线中的应用，通过采用高压喷涂、预成型技术、冷拌等施工工艺降低环境影响。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推广抗冲撞、反光性能强、夜间视认性好、耐久耐损坏、养护成本低的新型凸起路标。车道分界线、车道边缘线、互通分合流端的斑马线边缘等处设置太阳能自发光型凸起路标。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vMerge w:val="continue"/>
            <w:noWrap w:val="0"/>
            <w:vAlign w:val="center"/>
          </w:tcPr>
          <w:p>
            <w:pPr>
              <w:spacing w:line="240" w:lineRule="auto"/>
              <w:jc w:val="center"/>
              <w:rPr>
                <w:rFonts w:cs="宋体"/>
                <w:sz w:val="15"/>
                <w:szCs w:val="18"/>
              </w:rPr>
            </w:pPr>
          </w:p>
        </w:tc>
        <w:tc>
          <w:tcPr>
            <w:tcW w:w="236" w:type="pct"/>
            <w:vMerge w:val="continue"/>
            <w:noWrap w:val="0"/>
            <w:vAlign w:val="center"/>
          </w:tcPr>
          <w:p>
            <w:pPr>
              <w:spacing w:line="240" w:lineRule="auto"/>
              <w:jc w:val="center"/>
              <w:rPr>
                <w:rFonts w:cs="宋体"/>
                <w:sz w:val="15"/>
                <w:szCs w:val="18"/>
              </w:rPr>
            </w:pPr>
          </w:p>
        </w:tc>
        <w:tc>
          <w:tcPr>
            <w:tcW w:w="4345" w:type="pct"/>
            <w:noWrap w:val="0"/>
            <w:vAlign w:val="center"/>
          </w:tcPr>
          <w:p>
            <w:pPr>
              <w:spacing w:line="240" w:lineRule="auto"/>
              <w:jc w:val="center"/>
              <w:rPr>
                <w:rFonts w:cs="宋体"/>
                <w:sz w:val="15"/>
                <w:szCs w:val="18"/>
              </w:rPr>
            </w:pPr>
            <w:r>
              <w:rPr>
                <w:rFonts w:hint="eastAsia" w:cs="宋体"/>
                <w:sz w:val="15"/>
                <w:szCs w:val="18"/>
              </w:rPr>
              <w:t>鼓励推广耐久、易用、经济的视线诱导产品研发和应用，发展太阳能视线诱导设施。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 w:type="pct"/>
            <w:noWrap w:val="0"/>
            <w:vAlign w:val="center"/>
          </w:tcPr>
          <w:p>
            <w:pPr>
              <w:spacing w:line="240" w:lineRule="auto"/>
              <w:jc w:val="center"/>
              <w:rPr>
                <w:rFonts w:cs="宋体"/>
                <w:sz w:val="15"/>
                <w:szCs w:val="18"/>
              </w:rPr>
            </w:pPr>
            <w:r>
              <w:rPr>
                <w:rFonts w:cs="宋体"/>
                <w:sz w:val="15"/>
                <w:szCs w:val="18"/>
              </w:rPr>
              <w:t>特色</w:t>
            </w:r>
          </w:p>
          <w:p>
            <w:pPr>
              <w:spacing w:line="240" w:lineRule="auto"/>
              <w:jc w:val="center"/>
              <w:rPr>
                <w:rFonts w:cs="宋体"/>
                <w:sz w:val="15"/>
                <w:szCs w:val="18"/>
              </w:rPr>
            </w:pPr>
            <w:r>
              <w:rPr>
                <w:rFonts w:cs="宋体"/>
                <w:sz w:val="15"/>
                <w:szCs w:val="18"/>
              </w:rPr>
              <w:t>指标</w:t>
            </w:r>
          </w:p>
        </w:tc>
        <w:tc>
          <w:tcPr>
            <w:tcW w:w="236" w:type="pct"/>
            <w:noWrap w:val="0"/>
            <w:vAlign w:val="center"/>
          </w:tcPr>
          <w:p>
            <w:pPr>
              <w:spacing w:line="240" w:lineRule="auto"/>
              <w:jc w:val="center"/>
              <w:rPr>
                <w:rFonts w:cs="宋体"/>
                <w:sz w:val="15"/>
                <w:szCs w:val="18"/>
              </w:rPr>
            </w:pPr>
            <w:r>
              <w:rPr>
                <w:rFonts w:hint="eastAsia" w:cs="宋体"/>
                <w:sz w:val="15"/>
                <w:szCs w:val="18"/>
              </w:rPr>
              <w:t>5</w:t>
            </w:r>
          </w:p>
        </w:tc>
        <w:tc>
          <w:tcPr>
            <w:tcW w:w="4345" w:type="pct"/>
            <w:noWrap w:val="0"/>
            <w:vAlign w:val="center"/>
          </w:tcPr>
          <w:p>
            <w:pPr>
              <w:spacing w:line="240" w:lineRule="auto"/>
              <w:jc w:val="center"/>
              <w:rPr>
                <w:rFonts w:cs="宋体"/>
                <w:sz w:val="15"/>
                <w:szCs w:val="18"/>
              </w:rPr>
            </w:pPr>
            <w:r>
              <w:rPr>
                <w:rFonts w:hint="eastAsia" w:cs="宋体"/>
                <w:sz w:val="15"/>
                <w:szCs w:val="18"/>
              </w:rPr>
              <w:t>除了上述指标之外，根据项目的特点提出3~5个特色指标。</w:t>
            </w:r>
          </w:p>
        </w:tc>
      </w:tr>
    </w:tbl>
    <w:p>
      <w:r>
        <w:br w:type="page"/>
      </w:r>
    </w:p>
    <w:p>
      <w:pPr>
        <w:keepNext/>
        <w:keepLines/>
        <w:spacing w:before="360" w:after="360" w:line="240" w:lineRule="auto"/>
        <w:jc w:val="center"/>
        <w:outlineLvl w:val="0"/>
        <w:rPr>
          <w:rStyle w:val="19"/>
          <w:rFonts w:ascii="宋体" w:hAnsi="宋体" w:eastAsia="宋体"/>
          <w:b w:val="0"/>
          <w:bCs w:val="0"/>
          <w:sz w:val="28"/>
          <w:szCs w:val="28"/>
        </w:rPr>
      </w:pPr>
      <w:r>
        <w:rPr>
          <w:rStyle w:val="19"/>
          <w:rFonts w:hint="eastAsia" w:ascii="宋体" w:hAnsi="宋体" w:eastAsia="宋体"/>
          <w:b w:val="0"/>
          <w:bCs w:val="0"/>
          <w:sz w:val="28"/>
          <w:szCs w:val="28"/>
        </w:rPr>
        <w:t>附录</w:t>
      </w:r>
      <w:r>
        <w:rPr>
          <w:rStyle w:val="19"/>
          <w:rFonts w:hint="eastAsia" w:ascii="Times New Roman" w:hAnsi="Times New Roman" w:cs="Times New Roman"/>
          <w:sz w:val="28"/>
          <w:szCs w:val="28"/>
        </w:rPr>
        <w:t>A</w:t>
      </w:r>
      <w:r>
        <w:rPr>
          <w:rStyle w:val="19"/>
          <w:rFonts w:hint="eastAsia" w:ascii="宋体" w:hAnsi="宋体"/>
          <w:sz w:val="28"/>
          <w:szCs w:val="28"/>
        </w:rPr>
        <w:t xml:space="preserve">  </w:t>
      </w:r>
      <w:r>
        <w:rPr>
          <w:rStyle w:val="19"/>
          <w:rFonts w:hint="eastAsia" w:ascii="宋体" w:hAnsi="宋体" w:eastAsia="宋体"/>
          <w:b w:val="0"/>
          <w:bCs w:val="0"/>
          <w:sz w:val="28"/>
          <w:szCs w:val="28"/>
        </w:rPr>
        <w:t>道路工程全寿命周期碳排放量计算表单</w:t>
      </w:r>
      <w:bookmarkEnd w:id="342"/>
      <w:bookmarkEnd w:id="343"/>
      <w:bookmarkEnd w:id="344"/>
      <w:bookmarkEnd w:id="345"/>
    </w:p>
    <w:p>
      <w:pPr>
        <w:spacing w:line="240" w:lineRule="auto"/>
        <w:rPr>
          <w:szCs w:val="21"/>
        </w:rPr>
      </w:pPr>
      <w:bookmarkStart w:id="346" w:name="OLE_LINK16"/>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材料生产阶段计算表单</w:t>
      </w:r>
    </w:p>
    <w:bookmarkEnd w:id="346"/>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504"/>
        <w:gridCol w:w="1303"/>
        <w:gridCol w:w="1036"/>
        <w:gridCol w:w="1759"/>
        <w:gridCol w:w="991"/>
        <w:gridCol w:w="1398"/>
        <w:gridCol w:w="1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restart"/>
            <w:noWrap w:val="0"/>
            <w:textDirection w:val="tbLrV"/>
            <w:vAlign w:val="center"/>
          </w:tcPr>
          <w:p>
            <w:pPr>
              <w:spacing w:line="240" w:lineRule="auto"/>
              <w:ind w:left="113" w:right="113"/>
              <w:jc w:val="center"/>
              <w:textAlignment w:val="center"/>
              <w:rPr>
                <w:rFonts w:cs="等线 Light"/>
                <w:bCs/>
                <w:sz w:val="15"/>
                <w:szCs w:val="21"/>
              </w:rPr>
            </w:pPr>
            <w:r>
              <w:rPr>
                <w:rFonts w:hint="eastAsia" w:cs="宋体"/>
                <w:bCs/>
                <w:spacing w:val="85"/>
                <w:sz w:val="15"/>
                <w:szCs w:val="21"/>
                <w:lang w:bidi="ar"/>
              </w:rPr>
              <w:t>材料生产</w:t>
            </w:r>
          </w:p>
        </w:tc>
        <w:tc>
          <w:tcPr>
            <w:tcW w:w="701" w:type="pct"/>
            <w:noWrap/>
            <w:vAlign w:val="center"/>
          </w:tcPr>
          <w:p>
            <w:pPr>
              <w:spacing w:line="240" w:lineRule="auto"/>
              <w:jc w:val="center"/>
              <w:textAlignment w:val="center"/>
              <w:rPr>
                <w:rFonts w:cs="等线 Light"/>
                <w:bCs/>
                <w:sz w:val="15"/>
                <w:szCs w:val="21"/>
              </w:rPr>
            </w:pPr>
            <w:r>
              <w:rPr>
                <w:rFonts w:hint="eastAsia" w:cs="等线 Light"/>
                <w:bCs/>
                <w:sz w:val="15"/>
                <w:szCs w:val="21"/>
                <w:lang w:bidi="ar"/>
              </w:rPr>
              <w:t>材料类型</w:t>
            </w:r>
          </w:p>
        </w:tc>
        <w:tc>
          <w:tcPr>
            <w:tcW w:w="557" w:type="pct"/>
            <w:noWrap/>
            <w:vAlign w:val="center"/>
          </w:tcPr>
          <w:p>
            <w:pPr>
              <w:spacing w:line="240" w:lineRule="auto"/>
              <w:jc w:val="center"/>
              <w:textAlignment w:val="center"/>
              <w:rPr>
                <w:rFonts w:cs="等线 Light"/>
                <w:bCs/>
                <w:sz w:val="15"/>
                <w:szCs w:val="21"/>
              </w:rPr>
            </w:pPr>
            <w:r>
              <w:rPr>
                <w:rFonts w:hint="eastAsia" w:cs="等线 Light"/>
                <w:bCs/>
                <w:sz w:val="15"/>
                <w:szCs w:val="21"/>
                <w:lang w:bidi="ar"/>
              </w:rPr>
              <w:t>单位</w:t>
            </w:r>
          </w:p>
        </w:tc>
        <w:tc>
          <w:tcPr>
            <w:tcW w:w="946" w:type="pct"/>
            <w:noWrap/>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rPr>
            </w:pPr>
            <w:r>
              <w:rPr>
                <w:rFonts w:hint="eastAsia" w:cs="等线 Light"/>
                <w:bCs/>
                <w:sz w:val="15"/>
                <w:szCs w:val="21"/>
                <w:lang w:bidi="ar"/>
              </w:rPr>
              <w:t>（tCO</w:t>
            </w:r>
            <w:r>
              <w:rPr>
                <w:rFonts w:hint="eastAsia" w:cs="等线 Light"/>
                <w:bCs/>
                <w:sz w:val="15"/>
                <w:szCs w:val="21"/>
                <w:vertAlign w:val="subscript"/>
                <w:lang w:bidi="ar"/>
              </w:rPr>
              <w:t>2e</w:t>
            </w:r>
            <w:r>
              <w:rPr>
                <w:rFonts w:hint="eastAsia" w:cs="等线 Light"/>
                <w:bCs/>
                <w:sz w:val="15"/>
                <w:szCs w:val="21"/>
                <w:lang w:bidi="ar"/>
              </w:rPr>
              <w:t>/单位）</w:t>
            </w:r>
          </w:p>
        </w:tc>
        <w:tc>
          <w:tcPr>
            <w:tcW w:w="533" w:type="pct"/>
            <w:noWrap/>
            <w:vAlign w:val="center"/>
          </w:tcPr>
          <w:p>
            <w:pPr>
              <w:spacing w:line="240" w:lineRule="auto"/>
              <w:jc w:val="center"/>
              <w:textAlignment w:val="center"/>
              <w:rPr>
                <w:rFonts w:cs="等线 Light"/>
                <w:bCs/>
                <w:sz w:val="15"/>
                <w:szCs w:val="21"/>
              </w:rPr>
            </w:pPr>
            <w:r>
              <w:rPr>
                <w:rFonts w:hint="eastAsia" w:cs="等线 Light"/>
                <w:bCs/>
                <w:sz w:val="15"/>
                <w:szCs w:val="21"/>
                <w:lang w:bidi="ar"/>
              </w:rPr>
              <w:t>消耗量</w:t>
            </w:r>
          </w:p>
        </w:tc>
        <w:tc>
          <w:tcPr>
            <w:tcW w:w="752"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碳排放量</w:t>
            </w:r>
          </w:p>
          <w:p>
            <w:pPr>
              <w:spacing w:line="240" w:lineRule="auto"/>
              <w:jc w:val="center"/>
              <w:textAlignment w:val="center"/>
              <w:rPr>
                <w:rFonts w:cs="等线 Light"/>
                <w:bCs/>
                <w:sz w:val="15"/>
                <w:szCs w:val="21"/>
              </w:rPr>
            </w:pPr>
            <w:r>
              <w:rPr>
                <w:rFonts w:hint="eastAsia" w:cs="等线 Light"/>
                <w:bCs/>
                <w:sz w:val="15"/>
                <w:szCs w:val="21"/>
                <w:lang w:bidi="ar"/>
              </w:rPr>
              <w:t>（tCO</w:t>
            </w:r>
            <w:r>
              <w:rPr>
                <w:rFonts w:hint="eastAsia" w:cs="等线 Light"/>
                <w:bCs/>
                <w:sz w:val="15"/>
                <w:szCs w:val="21"/>
                <w:vertAlign w:val="subscript"/>
                <w:lang w:bidi="ar"/>
              </w:rPr>
              <w:t>2e</w:t>
            </w:r>
            <w:r>
              <w:rPr>
                <w:rFonts w:hint="eastAsia" w:cs="等线 Light"/>
                <w:bCs/>
                <w:sz w:val="15"/>
                <w:szCs w:val="21"/>
                <w:lang w:bidi="ar"/>
              </w:rPr>
              <w:t>）</w:t>
            </w:r>
          </w:p>
        </w:tc>
        <w:tc>
          <w:tcPr>
            <w:tcW w:w="701" w:type="pct"/>
            <w:noWrap w:val="0"/>
            <w:vAlign w:val="center"/>
          </w:tcPr>
          <w:p>
            <w:pPr>
              <w:spacing w:line="240" w:lineRule="auto"/>
              <w:jc w:val="center"/>
              <w:textAlignment w:val="center"/>
              <w:rPr>
                <w:rFonts w:cs="等线 Light"/>
                <w:bCs/>
                <w:sz w:val="15"/>
                <w:szCs w:val="21"/>
              </w:rPr>
            </w:pPr>
            <w:r>
              <w:rPr>
                <w:rFonts w:hint="eastAsia" w:cs="等线 Light"/>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textAlignment w:val="center"/>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textAlignment w:val="center"/>
              <w:rPr>
                <w:rFonts w:cs="等线 Light"/>
                <w:sz w:val="15"/>
                <w:szCs w:val="21"/>
              </w:rPr>
            </w:pPr>
          </w:p>
        </w:tc>
        <w:tc>
          <w:tcPr>
            <w:tcW w:w="752" w:type="pct"/>
            <w:noWrap/>
            <w:vAlign w:val="center"/>
          </w:tcPr>
          <w:p>
            <w:pPr>
              <w:spacing w:line="240" w:lineRule="auto"/>
              <w:textAlignment w:val="center"/>
              <w:rPr>
                <w:rFonts w:cs="等线 Light"/>
                <w:sz w:val="15"/>
                <w:szCs w:val="21"/>
              </w:rPr>
            </w:pPr>
          </w:p>
        </w:tc>
        <w:tc>
          <w:tcPr>
            <w:tcW w:w="701" w:type="pct"/>
            <w:noWrap w:val="0"/>
            <w:vAlign w:val="center"/>
          </w:tcPr>
          <w:p>
            <w:pPr>
              <w:spacing w:line="240" w:lineRule="auto"/>
              <w:textAlignment w:val="center"/>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textAlignment w:val="center"/>
              <w:rPr>
                <w:rFonts w:cs="等线 Light"/>
                <w:sz w:val="15"/>
                <w:szCs w:val="21"/>
              </w:rPr>
            </w:pPr>
          </w:p>
        </w:tc>
        <w:tc>
          <w:tcPr>
            <w:tcW w:w="557" w:type="pct"/>
            <w:noWrap/>
            <w:vAlign w:val="center"/>
          </w:tcPr>
          <w:p>
            <w:pPr>
              <w:spacing w:line="240" w:lineRule="auto"/>
              <w:rPr>
                <w:rFonts w:cs="等线 Light"/>
                <w:sz w:val="15"/>
                <w:szCs w:val="21"/>
              </w:rPr>
            </w:pPr>
          </w:p>
        </w:tc>
        <w:tc>
          <w:tcPr>
            <w:tcW w:w="946" w:type="pct"/>
            <w:noWrap/>
            <w:vAlign w:val="center"/>
          </w:tcPr>
          <w:p>
            <w:pPr>
              <w:spacing w:line="240" w:lineRule="auto"/>
              <w:rPr>
                <w:rFonts w:cs="等线 Light"/>
                <w:sz w:val="15"/>
                <w:szCs w:val="21"/>
              </w:rPr>
            </w:pPr>
          </w:p>
        </w:tc>
        <w:tc>
          <w:tcPr>
            <w:tcW w:w="533" w:type="pct"/>
            <w:noWrap/>
            <w:vAlign w:val="center"/>
          </w:tcPr>
          <w:p>
            <w:pPr>
              <w:spacing w:line="240" w:lineRule="auto"/>
              <w:rPr>
                <w:rFonts w:cs="等线 Light"/>
                <w:sz w:val="15"/>
                <w:szCs w:val="21"/>
              </w:rPr>
            </w:pPr>
          </w:p>
        </w:tc>
        <w:tc>
          <w:tcPr>
            <w:tcW w:w="752" w:type="pct"/>
            <w:noWrap/>
            <w:vAlign w:val="center"/>
          </w:tcPr>
          <w:p>
            <w:pPr>
              <w:spacing w:line="240" w:lineRule="auto"/>
              <w:rPr>
                <w:rFonts w:cs="等线 Light"/>
                <w:sz w:val="15"/>
                <w:szCs w:val="21"/>
              </w:rPr>
            </w:pPr>
          </w:p>
        </w:tc>
        <w:tc>
          <w:tcPr>
            <w:tcW w:w="701" w:type="pct"/>
            <w:noWrap/>
            <w:vAlign w:val="center"/>
          </w:tcPr>
          <w:p>
            <w:pPr>
              <w:spacing w:line="240" w:lineRule="auto"/>
              <w:rPr>
                <w:rFonts w:cs="等线 Light"/>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09" w:type="pct"/>
            <w:vMerge w:val="continue"/>
            <w:noWrap w:val="0"/>
            <w:vAlign w:val="center"/>
          </w:tcPr>
          <w:p>
            <w:pPr>
              <w:spacing w:line="240" w:lineRule="auto"/>
              <w:jc w:val="center"/>
              <w:rPr>
                <w:rFonts w:cs="等线 Light"/>
                <w:bCs/>
                <w:sz w:val="15"/>
                <w:szCs w:val="21"/>
              </w:rPr>
            </w:pPr>
          </w:p>
        </w:tc>
        <w:tc>
          <w:tcPr>
            <w:tcW w:w="701" w:type="pct"/>
            <w:noWrap/>
            <w:vAlign w:val="center"/>
          </w:tcPr>
          <w:p>
            <w:pPr>
              <w:spacing w:line="240" w:lineRule="auto"/>
              <w:jc w:val="center"/>
              <w:textAlignment w:val="center"/>
              <w:rPr>
                <w:rFonts w:cs="等线 Light"/>
                <w:sz w:val="15"/>
                <w:szCs w:val="21"/>
              </w:rPr>
            </w:pPr>
            <w:r>
              <w:rPr>
                <w:rFonts w:hint="eastAsia" w:cs="等线 Light"/>
                <w:sz w:val="15"/>
                <w:szCs w:val="21"/>
                <w:lang w:bidi="ar"/>
              </w:rPr>
              <w:t>小计</w:t>
            </w:r>
          </w:p>
        </w:tc>
        <w:tc>
          <w:tcPr>
            <w:tcW w:w="557" w:type="pct"/>
            <w:noWrap/>
            <w:vAlign w:val="center"/>
          </w:tcPr>
          <w:p>
            <w:pPr>
              <w:spacing w:line="240" w:lineRule="auto"/>
              <w:jc w:val="center"/>
              <w:rPr>
                <w:rFonts w:cs="等线 Light"/>
                <w:sz w:val="15"/>
                <w:szCs w:val="21"/>
              </w:rPr>
            </w:pPr>
          </w:p>
        </w:tc>
        <w:tc>
          <w:tcPr>
            <w:tcW w:w="946" w:type="pct"/>
            <w:noWrap/>
            <w:vAlign w:val="center"/>
          </w:tcPr>
          <w:p>
            <w:pPr>
              <w:spacing w:line="240" w:lineRule="auto"/>
              <w:jc w:val="center"/>
              <w:rPr>
                <w:rFonts w:cs="等线 Light"/>
                <w:sz w:val="15"/>
                <w:szCs w:val="21"/>
              </w:rPr>
            </w:pPr>
          </w:p>
        </w:tc>
        <w:tc>
          <w:tcPr>
            <w:tcW w:w="533" w:type="pct"/>
            <w:noWrap/>
            <w:vAlign w:val="center"/>
          </w:tcPr>
          <w:p>
            <w:pPr>
              <w:spacing w:line="240" w:lineRule="auto"/>
              <w:jc w:val="center"/>
              <w:rPr>
                <w:rFonts w:cs="等线 Light"/>
                <w:sz w:val="15"/>
                <w:szCs w:val="21"/>
              </w:rPr>
            </w:pPr>
          </w:p>
        </w:tc>
        <w:tc>
          <w:tcPr>
            <w:tcW w:w="752" w:type="pct"/>
            <w:noWrap/>
            <w:vAlign w:val="center"/>
          </w:tcPr>
          <w:p>
            <w:pPr>
              <w:spacing w:line="240" w:lineRule="auto"/>
              <w:jc w:val="center"/>
              <w:textAlignment w:val="center"/>
              <w:rPr>
                <w:rFonts w:cs="等线 Light"/>
                <w:bCs/>
                <w:sz w:val="15"/>
                <w:szCs w:val="21"/>
              </w:rPr>
            </w:pPr>
          </w:p>
        </w:tc>
        <w:tc>
          <w:tcPr>
            <w:tcW w:w="701" w:type="pct"/>
            <w:noWrap/>
            <w:vAlign w:val="center"/>
          </w:tcPr>
          <w:p>
            <w:pPr>
              <w:spacing w:line="240" w:lineRule="auto"/>
              <w:jc w:val="center"/>
              <w:rPr>
                <w:rFonts w:cs="等线 Light"/>
                <w:bCs/>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材料运输阶段计算表单</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09"/>
        <w:gridCol w:w="2099"/>
        <w:gridCol w:w="911"/>
        <w:gridCol w:w="1675"/>
        <w:gridCol w:w="959"/>
        <w:gridCol w:w="994"/>
        <w:gridCol w:w="20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restart"/>
            <w:noWrap w:val="0"/>
            <w:textDirection w:val="tbLrV"/>
            <w:vAlign w:val="center"/>
          </w:tcPr>
          <w:p>
            <w:pPr>
              <w:spacing w:line="240" w:lineRule="auto"/>
              <w:ind w:left="113" w:right="113"/>
              <w:jc w:val="center"/>
              <w:textAlignment w:val="center"/>
              <w:rPr>
                <w:rFonts w:cs="宋体"/>
                <w:sz w:val="15"/>
                <w:szCs w:val="21"/>
              </w:rPr>
            </w:pPr>
            <w:r>
              <w:rPr>
                <w:rFonts w:hint="eastAsia" w:cs="宋体"/>
                <w:bCs/>
                <w:spacing w:val="85"/>
                <w:sz w:val="15"/>
                <w:szCs w:val="21"/>
                <w:lang w:bidi="ar"/>
              </w:rPr>
              <w:t>材料运输</w:t>
            </w:r>
          </w:p>
        </w:tc>
        <w:tc>
          <w:tcPr>
            <w:tcW w:w="1129" w:type="pct"/>
            <w:noWrap/>
            <w:vAlign w:val="center"/>
          </w:tcPr>
          <w:p>
            <w:pPr>
              <w:spacing w:line="240" w:lineRule="auto"/>
              <w:jc w:val="center"/>
              <w:textAlignment w:val="center"/>
              <w:rPr>
                <w:rFonts w:cs="宋体"/>
                <w:bCs/>
                <w:sz w:val="15"/>
                <w:szCs w:val="21"/>
                <w:lang w:bidi="ar"/>
              </w:rPr>
            </w:pPr>
            <w:r>
              <w:rPr>
                <w:rFonts w:hint="eastAsia" w:cs="宋体"/>
                <w:bCs/>
                <w:sz w:val="15"/>
                <w:szCs w:val="21"/>
                <w:lang w:bidi="ar"/>
              </w:rPr>
              <w:t>材料类型</w:t>
            </w:r>
          </w:p>
          <w:p>
            <w:pPr>
              <w:spacing w:line="240" w:lineRule="auto"/>
              <w:jc w:val="center"/>
              <w:textAlignment w:val="center"/>
              <w:rPr>
                <w:rFonts w:cs="宋体"/>
                <w:bCs/>
                <w:sz w:val="15"/>
                <w:szCs w:val="21"/>
              </w:rPr>
            </w:pPr>
            <w:r>
              <w:rPr>
                <w:rFonts w:hint="eastAsia" w:cs="宋体"/>
                <w:bCs/>
                <w:sz w:val="15"/>
                <w:szCs w:val="21"/>
                <w:lang w:bidi="ar"/>
              </w:rPr>
              <w:t>（可按照运输工具划分）</w:t>
            </w:r>
          </w:p>
        </w:tc>
        <w:tc>
          <w:tcPr>
            <w:tcW w:w="490"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运输距离</w:t>
            </w:r>
          </w:p>
          <w:p>
            <w:pPr>
              <w:spacing w:line="240" w:lineRule="auto"/>
              <w:jc w:val="center"/>
              <w:textAlignment w:val="center"/>
              <w:rPr>
                <w:rFonts w:cs="宋体"/>
                <w:bCs/>
                <w:sz w:val="15"/>
                <w:szCs w:val="21"/>
              </w:rPr>
            </w:pPr>
            <w:r>
              <w:rPr>
                <w:rFonts w:hint="eastAsia" w:cs="宋体"/>
                <w:bCs/>
                <w:sz w:val="15"/>
                <w:szCs w:val="21"/>
                <w:lang w:bidi="ar"/>
              </w:rPr>
              <w:t>（km）</w:t>
            </w:r>
          </w:p>
        </w:tc>
        <w:tc>
          <w:tcPr>
            <w:tcW w:w="901"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运输装备单位周转量碳排放因子</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/t</w:t>
            </w:r>
            <w:r>
              <w:rPr>
                <w:rFonts w:cs="宋体"/>
                <w:bCs/>
                <w:sz w:val="15"/>
                <w:szCs w:val="21"/>
                <w:lang w:bidi="ar"/>
              </w:rPr>
              <w:t>·</w:t>
            </w:r>
            <w:r>
              <w:rPr>
                <w:rFonts w:hint="eastAsia" w:cs="宋体"/>
                <w:bCs/>
                <w:sz w:val="15"/>
                <w:szCs w:val="21"/>
                <w:lang w:bidi="ar"/>
              </w:rPr>
              <w:t>km）</w:t>
            </w:r>
          </w:p>
        </w:tc>
        <w:tc>
          <w:tcPr>
            <w:tcW w:w="516"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运输量</w:t>
            </w:r>
          </w:p>
          <w:p>
            <w:pPr>
              <w:spacing w:line="240" w:lineRule="auto"/>
              <w:jc w:val="center"/>
              <w:textAlignment w:val="center"/>
              <w:rPr>
                <w:rFonts w:cs="宋体"/>
                <w:bCs/>
                <w:sz w:val="15"/>
                <w:szCs w:val="21"/>
              </w:rPr>
            </w:pPr>
            <w:r>
              <w:rPr>
                <w:rFonts w:hint="eastAsia" w:cs="宋体"/>
                <w:bCs/>
                <w:sz w:val="15"/>
                <w:szCs w:val="21"/>
                <w:lang w:bidi="ar"/>
              </w:rPr>
              <w:t>（t）</w:t>
            </w:r>
          </w:p>
        </w:tc>
        <w:tc>
          <w:tcPr>
            <w:tcW w:w="535"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碳排放量</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w:t>
            </w:r>
          </w:p>
        </w:tc>
        <w:tc>
          <w:tcPr>
            <w:tcW w:w="1101" w:type="pct"/>
            <w:noWrap w:val="0"/>
            <w:vAlign w:val="center"/>
          </w:tcPr>
          <w:p>
            <w:pPr>
              <w:spacing w:line="240" w:lineRule="auto"/>
              <w:jc w:val="center"/>
              <w:textAlignment w:val="center"/>
              <w:rPr>
                <w:rFonts w:cs="宋体"/>
                <w:bCs/>
                <w:sz w:val="15"/>
                <w:szCs w:val="21"/>
              </w:rPr>
            </w:pPr>
            <w:r>
              <w:rPr>
                <w:rFonts w:hint="eastAsia" w:cs="宋体"/>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textAlignment w:val="center"/>
              <w:rPr>
                <w:rFonts w:cs="宋体"/>
                <w:sz w:val="15"/>
                <w:szCs w:val="21"/>
              </w:rPr>
            </w:pPr>
          </w:p>
        </w:tc>
        <w:tc>
          <w:tcPr>
            <w:tcW w:w="490" w:type="pct"/>
            <w:noWrap/>
            <w:vAlign w:val="center"/>
          </w:tcPr>
          <w:p>
            <w:pPr>
              <w:spacing w:line="240" w:lineRule="auto"/>
              <w:textAlignment w:val="center"/>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textAlignment w:val="center"/>
              <w:rPr>
                <w:rFonts w:cs="宋体"/>
                <w:sz w:val="15"/>
                <w:szCs w:val="21"/>
              </w:rPr>
            </w:pPr>
          </w:p>
        </w:tc>
        <w:tc>
          <w:tcPr>
            <w:tcW w:w="535" w:type="pct"/>
            <w:noWrap/>
            <w:vAlign w:val="center"/>
          </w:tcPr>
          <w:p>
            <w:pPr>
              <w:spacing w:line="240" w:lineRule="auto"/>
              <w:textAlignment w:val="center"/>
              <w:rPr>
                <w:rFonts w:cs="宋体"/>
                <w:sz w:val="15"/>
                <w:szCs w:val="21"/>
              </w:rPr>
            </w:pPr>
          </w:p>
        </w:tc>
        <w:tc>
          <w:tcPr>
            <w:tcW w:w="1101"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shd w:val="clear" w:color="auto" w:fill="auto"/>
            <w:noWrap w:val="0"/>
            <w:vAlign w:val="center"/>
          </w:tcPr>
          <w:p>
            <w:pPr>
              <w:spacing w:line="240" w:lineRule="auto"/>
              <w:jc w:val="center"/>
              <w:rPr>
                <w:rFonts w:cs="宋体"/>
                <w:sz w:val="15"/>
                <w:szCs w:val="21"/>
              </w:rPr>
            </w:pPr>
          </w:p>
        </w:tc>
        <w:tc>
          <w:tcPr>
            <w:tcW w:w="1129" w:type="pct"/>
            <w:shd w:val="clear" w:color="auto" w:fill="FFFFFF"/>
            <w:noWrap/>
            <w:vAlign w:val="center"/>
          </w:tcPr>
          <w:p>
            <w:pPr>
              <w:spacing w:line="240" w:lineRule="auto"/>
              <w:rPr>
                <w:rFonts w:cs="宋体"/>
                <w:sz w:val="15"/>
                <w:szCs w:val="21"/>
              </w:rPr>
            </w:pPr>
          </w:p>
        </w:tc>
        <w:tc>
          <w:tcPr>
            <w:tcW w:w="490" w:type="pct"/>
            <w:noWrap/>
            <w:vAlign w:val="center"/>
          </w:tcPr>
          <w:p>
            <w:pPr>
              <w:spacing w:line="240" w:lineRule="auto"/>
              <w:rPr>
                <w:rFonts w:cs="宋体"/>
                <w:sz w:val="15"/>
                <w:szCs w:val="21"/>
              </w:rPr>
            </w:pPr>
          </w:p>
        </w:tc>
        <w:tc>
          <w:tcPr>
            <w:tcW w:w="901" w:type="pct"/>
            <w:noWrap/>
            <w:vAlign w:val="center"/>
          </w:tcPr>
          <w:p>
            <w:pPr>
              <w:spacing w:line="240" w:lineRule="auto"/>
              <w:rPr>
                <w:rFonts w:cs="宋体"/>
                <w:sz w:val="15"/>
                <w:szCs w:val="21"/>
              </w:rPr>
            </w:pPr>
          </w:p>
        </w:tc>
        <w:tc>
          <w:tcPr>
            <w:tcW w:w="516" w:type="pct"/>
            <w:noWrap/>
            <w:vAlign w:val="center"/>
          </w:tcPr>
          <w:p>
            <w:pPr>
              <w:spacing w:line="240" w:lineRule="auto"/>
              <w:rPr>
                <w:rFonts w:cs="宋体"/>
                <w:sz w:val="15"/>
                <w:szCs w:val="21"/>
              </w:rPr>
            </w:pPr>
          </w:p>
        </w:tc>
        <w:tc>
          <w:tcPr>
            <w:tcW w:w="535" w:type="pct"/>
            <w:noWrap/>
            <w:vAlign w:val="center"/>
          </w:tcPr>
          <w:p>
            <w:pPr>
              <w:spacing w:line="240" w:lineRule="auto"/>
              <w:rPr>
                <w:rFonts w:cs="宋体"/>
                <w:sz w:val="15"/>
                <w:szCs w:val="21"/>
              </w:rPr>
            </w:pPr>
          </w:p>
        </w:tc>
        <w:tc>
          <w:tcPr>
            <w:tcW w:w="1101"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28" w:type="pct"/>
            <w:vMerge w:val="continue"/>
            <w:noWrap w:val="0"/>
            <w:vAlign w:val="center"/>
          </w:tcPr>
          <w:p>
            <w:pPr>
              <w:spacing w:line="240" w:lineRule="auto"/>
              <w:jc w:val="center"/>
              <w:rPr>
                <w:rFonts w:cs="宋体"/>
                <w:sz w:val="15"/>
                <w:szCs w:val="21"/>
              </w:rPr>
            </w:pPr>
          </w:p>
        </w:tc>
        <w:tc>
          <w:tcPr>
            <w:tcW w:w="1129" w:type="pct"/>
            <w:noWrap/>
            <w:vAlign w:val="center"/>
          </w:tcPr>
          <w:p>
            <w:pPr>
              <w:spacing w:line="240" w:lineRule="auto"/>
              <w:jc w:val="center"/>
              <w:textAlignment w:val="center"/>
              <w:rPr>
                <w:rFonts w:cs="宋体"/>
                <w:sz w:val="15"/>
                <w:szCs w:val="21"/>
              </w:rPr>
            </w:pPr>
            <w:r>
              <w:rPr>
                <w:rFonts w:hint="eastAsia" w:cs="宋体"/>
                <w:sz w:val="15"/>
                <w:szCs w:val="21"/>
                <w:lang w:bidi="ar"/>
              </w:rPr>
              <w:t>小计</w:t>
            </w:r>
          </w:p>
        </w:tc>
        <w:tc>
          <w:tcPr>
            <w:tcW w:w="490" w:type="pct"/>
            <w:noWrap/>
            <w:vAlign w:val="center"/>
          </w:tcPr>
          <w:p>
            <w:pPr>
              <w:spacing w:line="240" w:lineRule="auto"/>
              <w:jc w:val="center"/>
              <w:rPr>
                <w:rFonts w:cs="宋体"/>
                <w:sz w:val="15"/>
                <w:szCs w:val="21"/>
              </w:rPr>
            </w:pPr>
          </w:p>
        </w:tc>
        <w:tc>
          <w:tcPr>
            <w:tcW w:w="901" w:type="pct"/>
            <w:noWrap/>
            <w:vAlign w:val="center"/>
          </w:tcPr>
          <w:p>
            <w:pPr>
              <w:spacing w:line="240" w:lineRule="auto"/>
              <w:jc w:val="center"/>
              <w:rPr>
                <w:rFonts w:cs="宋体"/>
                <w:sz w:val="15"/>
                <w:szCs w:val="21"/>
              </w:rPr>
            </w:pPr>
          </w:p>
        </w:tc>
        <w:tc>
          <w:tcPr>
            <w:tcW w:w="516" w:type="pct"/>
            <w:noWrap/>
            <w:vAlign w:val="center"/>
          </w:tcPr>
          <w:p>
            <w:pPr>
              <w:spacing w:line="240" w:lineRule="auto"/>
              <w:jc w:val="center"/>
              <w:rPr>
                <w:rFonts w:cs="宋体"/>
                <w:sz w:val="15"/>
                <w:szCs w:val="21"/>
              </w:rPr>
            </w:pPr>
          </w:p>
        </w:tc>
        <w:tc>
          <w:tcPr>
            <w:tcW w:w="535" w:type="pct"/>
            <w:noWrap/>
            <w:vAlign w:val="center"/>
          </w:tcPr>
          <w:p>
            <w:pPr>
              <w:spacing w:line="240" w:lineRule="auto"/>
              <w:jc w:val="center"/>
              <w:textAlignment w:val="center"/>
              <w:rPr>
                <w:rFonts w:cs="宋体"/>
                <w:bCs/>
                <w:sz w:val="15"/>
                <w:szCs w:val="21"/>
              </w:rPr>
            </w:pPr>
          </w:p>
        </w:tc>
        <w:tc>
          <w:tcPr>
            <w:tcW w:w="1101" w:type="pct"/>
            <w:noWrap/>
            <w:vAlign w:val="center"/>
          </w:tcPr>
          <w:p>
            <w:pPr>
              <w:spacing w:line="240" w:lineRule="auto"/>
              <w:jc w:val="center"/>
              <w:rPr>
                <w:rFonts w:cs="宋体"/>
                <w:bCs/>
                <w:sz w:val="15"/>
                <w:szCs w:val="21"/>
              </w:rPr>
            </w:pPr>
          </w:p>
        </w:tc>
      </w:tr>
    </w:tbl>
    <w:p>
      <w:pPr>
        <w:spacing w:line="240" w:lineRule="auto"/>
        <w:rPr>
          <w:b/>
          <w:bCs/>
          <w:szCs w:val="21"/>
        </w:rPr>
      </w:pPr>
    </w:p>
    <w:p>
      <w:pPr>
        <w:widowControl/>
        <w:spacing w:line="240" w:lineRule="auto"/>
        <w:jc w:val="left"/>
        <w:rPr>
          <w:b/>
          <w:bCs/>
          <w:szCs w:val="21"/>
        </w:rPr>
      </w:pPr>
      <w:r>
        <w:rPr>
          <w:b/>
          <w:bCs/>
          <w:szCs w:val="21"/>
        </w:rPr>
        <w:br w:type="page"/>
      </w:r>
    </w:p>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3</w:t>
      </w:r>
      <w:r>
        <w:rPr>
          <w:rFonts w:hint="eastAsia"/>
          <w:szCs w:val="21"/>
        </w:rPr>
        <w:t xml:space="preserve"> </w:t>
      </w:r>
      <w:r>
        <w:rPr>
          <w:szCs w:val="21"/>
        </w:rPr>
        <w:t xml:space="preserve"> </w:t>
      </w:r>
      <w:r>
        <w:rPr>
          <w:rFonts w:hint="eastAsia"/>
          <w:szCs w:val="21"/>
        </w:rPr>
        <w:t>施工阶段计算表单</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szCs w:val="21"/>
        </w:rPr>
        <w:t>施工人员生活耗能排碳排放</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29"/>
        <w:gridCol w:w="1128"/>
        <w:gridCol w:w="2705"/>
        <w:gridCol w:w="1407"/>
        <w:gridCol w:w="191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restart"/>
            <w:noWrap/>
            <w:textDirection w:val="tbLrV"/>
            <w:vAlign w:val="center"/>
          </w:tcPr>
          <w:p>
            <w:pPr>
              <w:spacing w:line="240" w:lineRule="auto"/>
              <w:ind w:left="113" w:right="113"/>
              <w:jc w:val="center"/>
              <w:textAlignment w:val="center"/>
              <w:rPr>
                <w:sz w:val="15"/>
                <w:szCs w:val="21"/>
              </w:rPr>
            </w:pPr>
            <w:r>
              <w:rPr>
                <w:rFonts w:hint="eastAsia" w:cs="宋体"/>
                <w:bCs/>
                <w:spacing w:val="85"/>
                <w:sz w:val="15"/>
                <w:szCs w:val="21"/>
                <w:lang w:bidi="ar"/>
              </w:rPr>
              <w:t>建造期人工</w:t>
            </w:r>
          </w:p>
        </w:tc>
        <w:tc>
          <w:tcPr>
            <w:tcW w:w="607" w:type="pct"/>
            <w:noWrap/>
            <w:vAlign w:val="center"/>
          </w:tcPr>
          <w:p>
            <w:pPr>
              <w:spacing w:line="240" w:lineRule="auto"/>
              <w:jc w:val="center"/>
              <w:textAlignment w:val="center"/>
              <w:rPr>
                <w:bCs/>
                <w:sz w:val="15"/>
                <w:szCs w:val="21"/>
              </w:rPr>
            </w:pPr>
            <w:r>
              <w:rPr>
                <w:rFonts w:cs="宋体"/>
                <w:bCs/>
                <w:sz w:val="15"/>
                <w:szCs w:val="21"/>
                <w:lang w:bidi="ar"/>
              </w:rPr>
              <w:t>项目</w:t>
            </w:r>
          </w:p>
        </w:tc>
        <w:tc>
          <w:tcPr>
            <w:tcW w:w="1455"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757" w:type="pct"/>
            <w:noWrap/>
            <w:vAlign w:val="center"/>
          </w:tcPr>
          <w:p>
            <w:pPr>
              <w:spacing w:line="240" w:lineRule="auto"/>
              <w:jc w:val="center"/>
              <w:textAlignment w:val="center"/>
              <w:rPr>
                <w:rFonts w:cs="宋体"/>
                <w:bCs/>
                <w:sz w:val="15"/>
                <w:szCs w:val="21"/>
                <w:lang w:bidi="ar"/>
              </w:rPr>
            </w:pPr>
            <w:r>
              <w:rPr>
                <w:rFonts w:cs="宋体"/>
                <w:bCs/>
                <w:sz w:val="15"/>
                <w:szCs w:val="21"/>
                <w:lang w:bidi="ar"/>
              </w:rPr>
              <w:t>消耗量</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103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碳排放量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757" w:type="pct"/>
            <w:noWrap w:val="0"/>
            <w:vAlign w:val="center"/>
          </w:tcPr>
          <w:p>
            <w:pPr>
              <w:spacing w:line="240" w:lineRule="auto"/>
              <w:jc w:val="center"/>
              <w:textAlignment w:val="center"/>
              <w:rPr>
                <w:bCs/>
                <w:sz w:val="15"/>
                <w:szCs w:val="21"/>
              </w:rPr>
            </w:pPr>
            <w:r>
              <w:rPr>
                <w:rFonts w:cs="宋体"/>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textAlignment w:val="center"/>
              <w:rPr>
                <w:sz w:val="15"/>
                <w:szCs w:val="21"/>
              </w:rPr>
            </w:pPr>
          </w:p>
        </w:tc>
        <w:tc>
          <w:tcPr>
            <w:tcW w:w="1455" w:type="pct"/>
            <w:noWrap/>
            <w:vAlign w:val="center"/>
          </w:tcPr>
          <w:p>
            <w:pPr>
              <w:spacing w:line="240" w:lineRule="auto"/>
              <w:textAlignment w:val="center"/>
              <w:rPr>
                <w:sz w:val="15"/>
                <w:szCs w:val="21"/>
              </w:rPr>
            </w:pPr>
          </w:p>
        </w:tc>
        <w:tc>
          <w:tcPr>
            <w:tcW w:w="757" w:type="pct"/>
            <w:noWrap/>
            <w:vAlign w:val="center"/>
          </w:tcPr>
          <w:p>
            <w:pPr>
              <w:spacing w:line="240" w:lineRule="auto"/>
              <w:textAlignment w:val="center"/>
              <w:rPr>
                <w:sz w:val="15"/>
                <w:szCs w:val="21"/>
              </w:rPr>
            </w:pPr>
          </w:p>
        </w:tc>
        <w:tc>
          <w:tcPr>
            <w:tcW w:w="1032" w:type="pct"/>
            <w:noWrap/>
            <w:vAlign w:val="center"/>
          </w:tcPr>
          <w:p>
            <w:pPr>
              <w:spacing w:line="240" w:lineRule="auto"/>
              <w:textAlignment w:val="center"/>
              <w:rPr>
                <w:sz w:val="15"/>
                <w:szCs w:val="21"/>
              </w:rPr>
            </w:pPr>
          </w:p>
        </w:tc>
        <w:tc>
          <w:tcPr>
            <w:tcW w:w="757" w:type="pct"/>
            <w:noWrap/>
            <w:vAlign w:val="center"/>
          </w:tcPr>
          <w:p>
            <w:pPr>
              <w:spacing w:line="240" w:lineRule="auto"/>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textAlignment w:val="center"/>
              <w:rPr>
                <w:sz w:val="15"/>
                <w:szCs w:val="21"/>
              </w:rPr>
            </w:pPr>
          </w:p>
        </w:tc>
        <w:tc>
          <w:tcPr>
            <w:tcW w:w="1455" w:type="pct"/>
            <w:noWrap/>
            <w:vAlign w:val="center"/>
          </w:tcPr>
          <w:p>
            <w:pPr>
              <w:spacing w:line="240" w:lineRule="auto"/>
              <w:textAlignment w:val="center"/>
              <w:rPr>
                <w:sz w:val="15"/>
                <w:szCs w:val="21"/>
              </w:rPr>
            </w:pPr>
          </w:p>
        </w:tc>
        <w:tc>
          <w:tcPr>
            <w:tcW w:w="757" w:type="pct"/>
            <w:noWrap/>
            <w:vAlign w:val="center"/>
          </w:tcPr>
          <w:p>
            <w:pPr>
              <w:spacing w:line="240" w:lineRule="auto"/>
              <w:textAlignment w:val="center"/>
              <w:rPr>
                <w:sz w:val="15"/>
                <w:szCs w:val="21"/>
              </w:rPr>
            </w:pPr>
          </w:p>
        </w:tc>
        <w:tc>
          <w:tcPr>
            <w:tcW w:w="1032" w:type="pct"/>
            <w:noWrap/>
            <w:vAlign w:val="center"/>
          </w:tcPr>
          <w:p>
            <w:pPr>
              <w:spacing w:line="240" w:lineRule="auto"/>
              <w:textAlignment w:val="center"/>
              <w:rPr>
                <w:sz w:val="15"/>
                <w:szCs w:val="21"/>
              </w:rPr>
            </w:pPr>
          </w:p>
        </w:tc>
        <w:tc>
          <w:tcPr>
            <w:tcW w:w="757" w:type="pct"/>
            <w:noWrap/>
            <w:vAlign w:val="center"/>
          </w:tcPr>
          <w:p>
            <w:pPr>
              <w:spacing w:line="240" w:lineRule="auto"/>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textAlignment w:val="center"/>
              <w:rPr>
                <w:sz w:val="15"/>
                <w:szCs w:val="21"/>
              </w:rPr>
            </w:pPr>
          </w:p>
        </w:tc>
        <w:tc>
          <w:tcPr>
            <w:tcW w:w="1455" w:type="pct"/>
            <w:noWrap/>
            <w:vAlign w:val="center"/>
          </w:tcPr>
          <w:p>
            <w:pPr>
              <w:spacing w:line="240" w:lineRule="auto"/>
              <w:textAlignment w:val="center"/>
              <w:rPr>
                <w:sz w:val="15"/>
                <w:szCs w:val="21"/>
              </w:rPr>
            </w:pPr>
          </w:p>
        </w:tc>
        <w:tc>
          <w:tcPr>
            <w:tcW w:w="757" w:type="pct"/>
            <w:noWrap/>
            <w:vAlign w:val="center"/>
          </w:tcPr>
          <w:p>
            <w:pPr>
              <w:spacing w:line="240" w:lineRule="auto"/>
              <w:textAlignment w:val="center"/>
              <w:rPr>
                <w:sz w:val="15"/>
                <w:szCs w:val="21"/>
              </w:rPr>
            </w:pPr>
          </w:p>
        </w:tc>
        <w:tc>
          <w:tcPr>
            <w:tcW w:w="1032" w:type="pct"/>
            <w:noWrap/>
            <w:vAlign w:val="center"/>
          </w:tcPr>
          <w:p>
            <w:pPr>
              <w:spacing w:line="240" w:lineRule="auto"/>
              <w:textAlignment w:val="center"/>
              <w:rPr>
                <w:sz w:val="15"/>
                <w:szCs w:val="21"/>
              </w:rPr>
            </w:pPr>
          </w:p>
        </w:tc>
        <w:tc>
          <w:tcPr>
            <w:tcW w:w="757" w:type="pct"/>
            <w:noWrap/>
            <w:vAlign w:val="center"/>
          </w:tcPr>
          <w:p>
            <w:pPr>
              <w:spacing w:line="240" w:lineRule="auto"/>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2" w:type="pct"/>
            <w:vMerge w:val="continue"/>
            <w:noWrap/>
            <w:vAlign w:val="center"/>
          </w:tcPr>
          <w:p>
            <w:pPr>
              <w:spacing w:line="240" w:lineRule="auto"/>
              <w:jc w:val="center"/>
              <w:rPr>
                <w:sz w:val="15"/>
                <w:szCs w:val="21"/>
              </w:rPr>
            </w:pPr>
          </w:p>
        </w:tc>
        <w:tc>
          <w:tcPr>
            <w:tcW w:w="607" w:type="pct"/>
            <w:noWrap/>
            <w:vAlign w:val="center"/>
          </w:tcPr>
          <w:p>
            <w:pPr>
              <w:spacing w:line="240" w:lineRule="auto"/>
              <w:jc w:val="center"/>
              <w:textAlignment w:val="center"/>
              <w:rPr>
                <w:sz w:val="15"/>
                <w:szCs w:val="21"/>
              </w:rPr>
            </w:pPr>
            <w:r>
              <w:rPr>
                <w:rFonts w:cs="宋体"/>
                <w:sz w:val="15"/>
                <w:szCs w:val="21"/>
                <w:lang w:bidi="ar"/>
              </w:rPr>
              <w:t>小计</w:t>
            </w:r>
          </w:p>
        </w:tc>
        <w:tc>
          <w:tcPr>
            <w:tcW w:w="1455" w:type="pct"/>
            <w:noWrap/>
            <w:vAlign w:val="center"/>
          </w:tcPr>
          <w:p>
            <w:pPr>
              <w:spacing w:line="240" w:lineRule="auto"/>
              <w:jc w:val="center"/>
              <w:rPr>
                <w:sz w:val="15"/>
                <w:szCs w:val="21"/>
              </w:rPr>
            </w:pPr>
          </w:p>
        </w:tc>
        <w:tc>
          <w:tcPr>
            <w:tcW w:w="757" w:type="pct"/>
            <w:noWrap/>
            <w:vAlign w:val="center"/>
          </w:tcPr>
          <w:p>
            <w:pPr>
              <w:spacing w:line="240" w:lineRule="auto"/>
              <w:rPr>
                <w:sz w:val="15"/>
                <w:szCs w:val="21"/>
              </w:rPr>
            </w:pPr>
          </w:p>
        </w:tc>
        <w:tc>
          <w:tcPr>
            <w:tcW w:w="1032" w:type="pct"/>
            <w:noWrap/>
            <w:vAlign w:val="center"/>
          </w:tcPr>
          <w:p>
            <w:pPr>
              <w:spacing w:line="240" w:lineRule="auto"/>
              <w:rPr>
                <w:bCs/>
                <w:sz w:val="15"/>
                <w:szCs w:val="21"/>
              </w:rPr>
            </w:pPr>
          </w:p>
        </w:tc>
        <w:tc>
          <w:tcPr>
            <w:tcW w:w="757" w:type="pct"/>
            <w:noWrap/>
            <w:vAlign w:val="center"/>
          </w:tcPr>
          <w:p>
            <w:pPr>
              <w:spacing w:line="240" w:lineRule="auto"/>
              <w:rPr>
                <w:bCs/>
                <w:sz w:val="15"/>
                <w:szCs w:val="21"/>
              </w:rPr>
            </w:pPr>
          </w:p>
        </w:tc>
      </w:tr>
    </w:tbl>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施工机械设备耗能碳排放</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73"/>
        <w:gridCol w:w="706"/>
        <w:gridCol w:w="708"/>
        <w:gridCol w:w="708"/>
        <w:gridCol w:w="708"/>
        <w:gridCol w:w="708"/>
        <w:gridCol w:w="708"/>
        <w:gridCol w:w="875"/>
        <w:gridCol w:w="541"/>
        <w:gridCol w:w="709"/>
        <w:gridCol w:w="743"/>
        <w:gridCol w:w="698"/>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restart"/>
            <w:noWrap/>
            <w:textDirection w:val="tbLrV"/>
            <w:vAlign w:val="center"/>
          </w:tcPr>
          <w:p>
            <w:pPr>
              <w:spacing w:line="240" w:lineRule="auto"/>
              <w:ind w:left="113" w:right="113"/>
              <w:jc w:val="center"/>
              <w:textAlignment w:val="center"/>
              <w:rPr>
                <w:sz w:val="15"/>
                <w:szCs w:val="21"/>
              </w:rPr>
            </w:pPr>
            <w:r>
              <w:rPr>
                <w:rFonts w:hint="eastAsia" w:cs="宋体"/>
                <w:bCs/>
                <w:spacing w:val="85"/>
                <w:sz w:val="15"/>
                <w:szCs w:val="21"/>
                <w:lang w:bidi="ar"/>
              </w:rPr>
              <w:t>施工阶段机械设备</w:t>
            </w:r>
          </w:p>
        </w:tc>
        <w:tc>
          <w:tcPr>
            <w:tcW w:w="381" w:type="pct"/>
            <w:noWrap/>
            <w:vAlign w:val="center"/>
          </w:tcPr>
          <w:p>
            <w:pPr>
              <w:spacing w:line="240" w:lineRule="auto"/>
              <w:jc w:val="center"/>
              <w:textAlignment w:val="center"/>
              <w:rPr>
                <w:bCs/>
                <w:sz w:val="15"/>
                <w:szCs w:val="21"/>
              </w:rPr>
            </w:pPr>
            <w:r>
              <w:rPr>
                <w:rFonts w:cs="宋体"/>
                <w:bCs/>
                <w:sz w:val="15"/>
                <w:szCs w:val="21"/>
                <w:lang w:bidi="ar"/>
              </w:rPr>
              <w:t>设备</w:t>
            </w:r>
          </w:p>
        </w:tc>
        <w:tc>
          <w:tcPr>
            <w:tcW w:w="382" w:type="pct"/>
            <w:noWrap/>
            <w:vAlign w:val="center"/>
          </w:tcPr>
          <w:p>
            <w:pPr>
              <w:spacing w:line="240" w:lineRule="auto"/>
              <w:jc w:val="center"/>
              <w:textAlignment w:val="center"/>
              <w:rPr>
                <w:bCs/>
                <w:sz w:val="15"/>
                <w:szCs w:val="21"/>
              </w:rPr>
            </w:pPr>
            <w:r>
              <w:rPr>
                <w:rFonts w:cs="宋体"/>
                <w:bCs/>
                <w:sz w:val="15"/>
                <w:szCs w:val="21"/>
                <w:lang w:bidi="ar"/>
              </w:rPr>
              <w:t>性能规格</w:t>
            </w:r>
          </w:p>
        </w:tc>
        <w:tc>
          <w:tcPr>
            <w:tcW w:w="382" w:type="pct"/>
            <w:noWrap/>
            <w:vAlign w:val="center"/>
          </w:tcPr>
          <w:p>
            <w:pPr>
              <w:spacing w:line="240" w:lineRule="auto"/>
              <w:jc w:val="center"/>
              <w:textAlignment w:val="center"/>
              <w:rPr>
                <w:bCs/>
                <w:sz w:val="15"/>
                <w:szCs w:val="21"/>
              </w:rPr>
            </w:pPr>
            <w:r>
              <w:rPr>
                <w:rFonts w:cs="宋体"/>
                <w:bCs/>
                <w:sz w:val="15"/>
                <w:szCs w:val="21"/>
                <w:lang w:bidi="ar"/>
              </w:rPr>
              <w:t>数量</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汽油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柴油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电力</w:t>
            </w:r>
          </w:p>
          <w:p>
            <w:pPr>
              <w:spacing w:line="240" w:lineRule="auto"/>
              <w:jc w:val="center"/>
              <w:textAlignment w:val="center"/>
              <w:rPr>
                <w:bCs/>
                <w:sz w:val="15"/>
                <w:szCs w:val="21"/>
              </w:rPr>
            </w:pPr>
            <w:r>
              <w:rPr>
                <w:rFonts w:cs="宋体"/>
                <w:bCs/>
                <w:sz w:val="15"/>
                <w:szCs w:val="21"/>
                <w:lang w:bidi="ar"/>
              </w:rPr>
              <w:t>（KWh）</w:t>
            </w:r>
          </w:p>
        </w:tc>
        <w:tc>
          <w:tcPr>
            <w:tcW w:w="472"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t</w:t>
            </w:r>
            <w:r>
              <w:rPr>
                <w:rFonts w:cs="宋体"/>
                <w:bCs/>
                <w:sz w:val="15"/>
                <w:szCs w:val="21"/>
                <w:lang w:bidi="ar"/>
              </w:rPr>
              <w:t>）</w:t>
            </w:r>
          </w:p>
        </w:tc>
        <w:tc>
          <w:tcPr>
            <w:tcW w:w="29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台班数</w:t>
            </w:r>
          </w:p>
          <w:p>
            <w:pPr>
              <w:spacing w:line="240" w:lineRule="auto"/>
              <w:jc w:val="center"/>
              <w:textAlignment w:val="center"/>
              <w:rPr>
                <w:bCs/>
                <w:sz w:val="15"/>
                <w:szCs w:val="21"/>
              </w:rPr>
            </w:pPr>
            <w:r>
              <w:rPr>
                <w:rFonts w:cs="宋体"/>
                <w:bCs/>
                <w:sz w:val="15"/>
                <w:szCs w:val="21"/>
                <w:lang w:bidi="ar"/>
              </w:rPr>
              <w:t>（个）</w:t>
            </w:r>
          </w:p>
        </w:tc>
        <w:tc>
          <w:tcPr>
            <w:tcW w:w="38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耗能定额</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t</w:t>
            </w:r>
            <w:r>
              <w:rPr>
                <w:rFonts w:cs="宋体"/>
                <w:bCs/>
                <w:sz w:val="15"/>
                <w:szCs w:val="21"/>
                <w:lang w:bidi="ar"/>
              </w:rPr>
              <w:t>/台班或KWh）</w:t>
            </w:r>
          </w:p>
        </w:tc>
        <w:tc>
          <w:tcPr>
            <w:tcW w:w="388"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碳排放量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376" w:type="pct"/>
            <w:noWrap w:val="0"/>
            <w:vAlign w:val="center"/>
          </w:tcPr>
          <w:p>
            <w:pPr>
              <w:spacing w:line="240" w:lineRule="auto"/>
              <w:jc w:val="center"/>
              <w:textAlignment w:val="center"/>
              <w:rPr>
                <w:bCs/>
                <w:sz w:val="15"/>
                <w:szCs w:val="21"/>
              </w:rPr>
            </w:pPr>
            <w:r>
              <w:rPr>
                <w:rFonts w:cs="宋体"/>
                <w:bCs/>
                <w:sz w:val="15"/>
                <w:szCs w:val="21"/>
                <w:lang w:bidi="ar"/>
              </w:rPr>
              <w:t>优化建议</w:t>
            </w:r>
          </w:p>
        </w:tc>
        <w:tc>
          <w:tcPr>
            <w:tcW w:w="382" w:type="pct"/>
            <w:noWrap w:val="0"/>
            <w:vAlign w:val="center"/>
          </w:tcPr>
          <w:p>
            <w:pPr>
              <w:spacing w:line="240" w:lineRule="auto"/>
              <w:jc w:val="center"/>
              <w:textAlignment w:val="center"/>
              <w:rPr>
                <w:bCs/>
                <w:sz w:val="15"/>
                <w:szCs w:val="21"/>
              </w:rPr>
            </w:pPr>
            <w:r>
              <w:rPr>
                <w:rFonts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textAlignment w:val="center"/>
              <w:rPr>
                <w:sz w:val="15"/>
                <w:szCs w:val="21"/>
              </w:rPr>
            </w:pPr>
          </w:p>
        </w:tc>
        <w:tc>
          <w:tcPr>
            <w:tcW w:w="29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textAlignment w:val="center"/>
              <w:rPr>
                <w:sz w:val="15"/>
                <w:szCs w:val="21"/>
              </w:rPr>
            </w:pPr>
          </w:p>
        </w:tc>
        <w:tc>
          <w:tcPr>
            <w:tcW w:w="388" w:type="pct"/>
            <w:noWrap/>
            <w:vAlign w:val="center"/>
          </w:tcPr>
          <w:p>
            <w:pPr>
              <w:spacing w:line="240" w:lineRule="auto"/>
              <w:jc w:val="center"/>
              <w:textAlignment w:val="center"/>
              <w:rPr>
                <w:sz w:val="15"/>
                <w:szCs w:val="21"/>
              </w:rPr>
            </w:pPr>
          </w:p>
        </w:tc>
        <w:tc>
          <w:tcPr>
            <w:tcW w:w="376" w:type="pct"/>
            <w:noWrap/>
            <w:vAlign w:val="center"/>
          </w:tcPr>
          <w:p>
            <w:pPr>
              <w:spacing w:line="240" w:lineRule="auto"/>
              <w:jc w:val="center"/>
              <w:rPr>
                <w:sz w:val="15"/>
                <w:szCs w:val="21"/>
              </w:rPr>
            </w:pPr>
          </w:p>
        </w:tc>
        <w:tc>
          <w:tcPr>
            <w:tcW w:w="382" w:type="pct"/>
            <w:noWrap w:val="0"/>
            <w:vAlign w:val="center"/>
          </w:tcPr>
          <w:p>
            <w:pPr>
              <w:spacing w:line="240" w:lineRule="auto"/>
              <w:jc w:val="center"/>
              <w:textAlignment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1" w:type="pct"/>
            <w:noWrap/>
            <w:vAlign w:val="center"/>
          </w:tcPr>
          <w:p>
            <w:pPr>
              <w:spacing w:line="240" w:lineRule="auto"/>
              <w:jc w:val="center"/>
              <w:textAlignment w:val="center"/>
              <w:rPr>
                <w:sz w:val="15"/>
                <w:szCs w:val="21"/>
              </w:rPr>
            </w:pPr>
            <w:r>
              <w:rPr>
                <w:rFonts w:cs="宋体"/>
                <w:sz w:val="15"/>
                <w:szCs w:val="21"/>
                <w:lang w:bidi="ar"/>
              </w:rPr>
              <w:t>小计</w:t>
            </w: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bCs/>
                <w:sz w:val="15"/>
                <w:szCs w:val="21"/>
              </w:rPr>
            </w:pPr>
          </w:p>
        </w:tc>
        <w:tc>
          <w:tcPr>
            <w:tcW w:w="382" w:type="pct"/>
            <w:noWrap/>
            <w:vAlign w:val="center"/>
          </w:tcPr>
          <w:p>
            <w:pPr>
              <w:spacing w:line="240" w:lineRule="auto"/>
              <w:jc w:val="center"/>
              <w:rPr>
                <w:bCs/>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运营维护阶段计算表单</w:t>
      </w:r>
    </w:p>
    <w:p>
      <w:pPr>
        <w:spacing w:line="240" w:lineRule="auto"/>
        <w:ind w:firstLine="421" w:firstLineChars="200"/>
        <w:rPr>
          <w:bCs/>
          <w:szCs w:val="21"/>
        </w:rPr>
      </w:pPr>
      <w:r>
        <w:rPr>
          <w:b/>
          <w:bCs/>
          <w:szCs w:val="21"/>
        </w:rPr>
        <w:t>1</w:t>
      </w:r>
      <w:r>
        <w:rPr>
          <w:rFonts w:hint="eastAsia"/>
          <w:szCs w:val="21"/>
        </w:rPr>
        <w:t xml:space="preserve"> </w:t>
      </w:r>
      <w:r>
        <w:rPr>
          <w:szCs w:val="21"/>
        </w:rPr>
        <w:t xml:space="preserve"> </w:t>
      </w:r>
      <w:r>
        <w:rPr>
          <w:rFonts w:hint="eastAsia"/>
          <w:bCs/>
          <w:szCs w:val="21"/>
        </w:rPr>
        <w:t>用电碳排放</w:t>
      </w:r>
    </w:p>
    <w:tbl>
      <w:tblPr>
        <w:tblStyle w:val="13"/>
        <w:tblpPr w:leftFromText="180" w:rightFromText="180" w:vertAnchor="text" w:horzAnchor="page" w:tblpX="1294" w:tblpY="83"/>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15"/>
        <w:gridCol w:w="487"/>
        <w:gridCol w:w="485"/>
        <w:gridCol w:w="554"/>
        <w:gridCol w:w="887"/>
        <w:gridCol w:w="1587"/>
        <w:gridCol w:w="1526"/>
        <w:gridCol w:w="1145"/>
        <w:gridCol w:w="1297"/>
        <w:gridCol w:w="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93" w:type="pct"/>
            <w:gridSpan w:val="2"/>
            <w:noWrap w:val="0"/>
            <w:vAlign w:val="center"/>
          </w:tcPr>
          <w:p>
            <w:pPr>
              <w:spacing w:line="240" w:lineRule="auto"/>
              <w:jc w:val="center"/>
              <w:textAlignment w:val="center"/>
              <w:rPr>
                <w:rFonts w:cs="宋体"/>
                <w:sz w:val="15"/>
                <w:szCs w:val="21"/>
                <w:lang w:bidi="ar"/>
              </w:rPr>
            </w:pPr>
            <w:r>
              <w:rPr>
                <w:rFonts w:hint="eastAsia" w:cs="宋体"/>
                <w:sz w:val="15"/>
                <w:szCs w:val="21"/>
                <w:lang w:bidi="ar"/>
              </w:rPr>
              <w:t>功率</w:t>
            </w:r>
          </w:p>
          <w:p>
            <w:pPr>
              <w:spacing w:line="240" w:lineRule="auto"/>
              <w:jc w:val="center"/>
              <w:textAlignment w:val="center"/>
              <w:rPr>
                <w:rFonts w:cs="宋体"/>
                <w:sz w:val="15"/>
                <w:szCs w:val="21"/>
                <w:lang w:bidi="ar"/>
              </w:rPr>
            </w:pPr>
            <w:r>
              <w:rPr>
                <w:rFonts w:hint="eastAsia" w:cs="宋体"/>
                <w:sz w:val="15"/>
                <w:szCs w:val="21"/>
                <w:lang w:bidi="ar"/>
              </w:rPr>
              <w:t>（KW）</w:t>
            </w:r>
          </w:p>
        </w:tc>
        <w:tc>
          <w:tcPr>
            <w:tcW w:w="559" w:type="pct"/>
            <w:gridSpan w:val="2"/>
            <w:noWrap w:val="0"/>
            <w:vAlign w:val="center"/>
          </w:tcPr>
          <w:p>
            <w:pPr>
              <w:spacing w:line="240" w:lineRule="auto"/>
              <w:jc w:val="center"/>
              <w:textAlignment w:val="center"/>
              <w:rPr>
                <w:rFonts w:cs="宋体"/>
                <w:sz w:val="15"/>
                <w:szCs w:val="21"/>
                <w:lang w:bidi="ar"/>
              </w:rPr>
            </w:pPr>
            <w:r>
              <w:rPr>
                <w:rFonts w:hint="eastAsia" w:cs="宋体"/>
                <w:sz w:val="15"/>
                <w:szCs w:val="21"/>
                <w:lang w:bidi="ar"/>
              </w:rPr>
              <w:t>日用电量</w:t>
            </w:r>
          </w:p>
          <w:p>
            <w:pPr>
              <w:spacing w:line="240" w:lineRule="auto"/>
              <w:jc w:val="center"/>
              <w:textAlignment w:val="center"/>
              <w:rPr>
                <w:rFonts w:cs="宋体"/>
                <w:sz w:val="15"/>
                <w:szCs w:val="21"/>
                <w:lang w:bidi="ar"/>
              </w:rPr>
            </w:pPr>
            <w:r>
              <w:rPr>
                <w:rFonts w:hint="eastAsia" w:cs="宋体"/>
                <w:sz w:val="15"/>
                <w:szCs w:val="21"/>
                <w:lang w:bidi="ar"/>
              </w:rPr>
              <w:t>（KWh）</w:t>
            </w:r>
          </w:p>
        </w:tc>
        <w:tc>
          <w:tcPr>
            <w:tcW w:w="477"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年用电量</w:t>
            </w:r>
          </w:p>
          <w:p>
            <w:pPr>
              <w:spacing w:line="240" w:lineRule="auto"/>
              <w:jc w:val="center"/>
              <w:textAlignment w:val="center"/>
              <w:rPr>
                <w:rFonts w:cs="宋体"/>
                <w:sz w:val="15"/>
                <w:szCs w:val="21"/>
                <w:lang w:bidi="ar"/>
              </w:rPr>
            </w:pPr>
            <w:r>
              <w:rPr>
                <w:rFonts w:hint="eastAsia" w:cs="宋体"/>
                <w:sz w:val="15"/>
                <w:szCs w:val="21"/>
                <w:lang w:bidi="ar"/>
              </w:rPr>
              <w:t>（KWh）</w:t>
            </w:r>
          </w:p>
        </w:tc>
        <w:tc>
          <w:tcPr>
            <w:tcW w:w="854"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全寿命周期用电量</w:t>
            </w:r>
          </w:p>
          <w:p>
            <w:pPr>
              <w:spacing w:line="240" w:lineRule="auto"/>
              <w:jc w:val="center"/>
              <w:textAlignment w:val="center"/>
              <w:rPr>
                <w:rFonts w:cs="宋体"/>
                <w:sz w:val="15"/>
                <w:szCs w:val="21"/>
                <w:lang w:bidi="ar"/>
              </w:rPr>
            </w:pPr>
            <w:r>
              <w:rPr>
                <w:rFonts w:hint="eastAsia" w:cs="宋体"/>
                <w:sz w:val="15"/>
                <w:szCs w:val="21"/>
                <w:lang w:bidi="ar"/>
              </w:rPr>
              <w:t>（KWh）</w:t>
            </w:r>
          </w:p>
        </w:tc>
        <w:tc>
          <w:tcPr>
            <w:tcW w:w="821"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碳排放因子</w:t>
            </w:r>
          </w:p>
          <w:p>
            <w:pPr>
              <w:spacing w:line="240" w:lineRule="auto"/>
              <w:jc w:val="center"/>
              <w:textAlignment w:val="center"/>
              <w:rPr>
                <w:rFonts w:cs="宋体"/>
                <w:sz w:val="15"/>
                <w:szCs w:val="21"/>
                <w:lang w:bidi="ar"/>
              </w:rPr>
            </w:pPr>
            <w:r>
              <w:rPr>
                <w:rFonts w:hint="eastAsia" w:cs="宋体"/>
                <w:sz w:val="15"/>
                <w:szCs w:val="21"/>
                <w:lang w:bidi="ar"/>
              </w:rPr>
              <w:t>（tCO</w:t>
            </w:r>
            <w:r>
              <w:rPr>
                <w:rFonts w:cs="宋体"/>
                <w:sz w:val="15"/>
                <w:szCs w:val="21"/>
                <w:vertAlign w:val="subscript"/>
                <w:lang w:bidi="ar"/>
              </w:rPr>
              <w:t>2</w:t>
            </w:r>
            <w:r>
              <w:rPr>
                <w:rFonts w:hint="eastAsia" w:cs="宋体"/>
                <w:sz w:val="15"/>
                <w:szCs w:val="21"/>
                <w:vertAlign w:val="subscript"/>
                <w:lang w:bidi="ar"/>
              </w:rPr>
              <w:t>e</w:t>
            </w:r>
            <w:r>
              <w:rPr>
                <w:rFonts w:hint="eastAsia" w:cs="宋体"/>
                <w:sz w:val="15"/>
                <w:szCs w:val="21"/>
                <w:lang w:bidi="ar"/>
              </w:rPr>
              <w:t>/KWh）</w:t>
            </w:r>
          </w:p>
        </w:tc>
        <w:tc>
          <w:tcPr>
            <w:tcW w:w="616"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年碳排放量</w:t>
            </w:r>
          </w:p>
          <w:p>
            <w:pPr>
              <w:spacing w:line="240" w:lineRule="auto"/>
              <w:jc w:val="center"/>
              <w:textAlignment w:val="center"/>
              <w:rPr>
                <w:rFonts w:cs="宋体"/>
                <w:sz w:val="15"/>
                <w:szCs w:val="21"/>
                <w:lang w:bidi="ar"/>
              </w:rPr>
            </w:pPr>
            <w:r>
              <w:rPr>
                <w:rFonts w:hint="eastAsia" w:cs="宋体"/>
                <w:sz w:val="15"/>
                <w:szCs w:val="21"/>
                <w:lang w:bidi="ar"/>
              </w:rPr>
              <w:t>（</w:t>
            </w: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hint="eastAsia" w:cs="宋体"/>
                <w:sz w:val="15"/>
                <w:szCs w:val="21"/>
                <w:lang w:bidi="ar"/>
              </w:rPr>
              <w:t>）</w:t>
            </w:r>
          </w:p>
        </w:tc>
        <w:tc>
          <w:tcPr>
            <w:tcW w:w="698" w:type="pct"/>
            <w:vMerge w:val="restart"/>
            <w:noWrap w:val="0"/>
            <w:vAlign w:val="center"/>
          </w:tcPr>
          <w:p>
            <w:pPr>
              <w:spacing w:line="240" w:lineRule="auto"/>
              <w:jc w:val="center"/>
              <w:textAlignment w:val="center"/>
              <w:rPr>
                <w:rFonts w:cs="宋体"/>
                <w:sz w:val="15"/>
                <w:szCs w:val="21"/>
                <w:lang w:bidi="ar"/>
              </w:rPr>
            </w:pPr>
            <w:r>
              <w:rPr>
                <w:rFonts w:hint="eastAsia" w:cs="宋体"/>
                <w:sz w:val="15"/>
                <w:szCs w:val="21"/>
                <w:lang w:bidi="ar"/>
              </w:rPr>
              <w:t>全寿命周期</w:t>
            </w:r>
          </w:p>
          <w:p>
            <w:pPr>
              <w:spacing w:line="240" w:lineRule="auto"/>
              <w:jc w:val="center"/>
              <w:textAlignment w:val="center"/>
              <w:rPr>
                <w:rFonts w:cs="宋体"/>
                <w:sz w:val="15"/>
                <w:szCs w:val="21"/>
                <w:lang w:bidi="ar"/>
              </w:rPr>
            </w:pPr>
            <w:r>
              <w:rPr>
                <w:rFonts w:hint="eastAsia" w:cs="宋体"/>
                <w:sz w:val="15"/>
                <w:szCs w:val="21"/>
                <w:lang w:bidi="ar"/>
              </w:rPr>
              <w:t>碳排放</w:t>
            </w:r>
          </w:p>
          <w:p>
            <w:pPr>
              <w:spacing w:line="240" w:lineRule="auto"/>
              <w:jc w:val="center"/>
              <w:textAlignment w:val="center"/>
              <w:rPr>
                <w:rFonts w:cs="宋体"/>
                <w:sz w:val="15"/>
                <w:szCs w:val="21"/>
                <w:lang w:bidi="ar"/>
              </w:rPr>
            </w:pPr>
            <w:r>
              <w:rPr>
                <w:rFonts w:hint="eastAsia" w:cs="宋体"/>
                <w:sz w:val="15"/>
                <w:szCs w:val="21"/>
                <w:lang w:bidi="ar"/>
              </w:rPr>
              <w:t>（</w:t>
            </w: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hint="eastAsia" w:cs="宋体"/>
                <w:sz w:val="15"/>
                <w:szCs w:val="21"/>
                <w:lang w:bidi="ar"/>
              </w:rPr>
              <w:t>）</w:t>
            </w:r>
          </w:p>
        </w:tc>
        <w:tc>
          <w:tcPr>
            <w:tcW w:w="382" w:type="pct"/>
            <w:vMerge w:val="restart"/>
            <w:noWrap/>
            <w:vAlign w:val="center"/>
          </w:tcPr>
          <w:p>
            <w:pPr>
              <w:spacing w:line="240" w:lineRule="auto"/>
              <w:jc w:val="center"/>
              <w:textAlignment w:val="center"/>
              <w:rPr>
                <w:rFonts w:cs="宋体"/>
                <w:sz w:val="15"/>
                <w:szCs w:val="21"/>
                <w:lang w:bidi="ar"/>
              </w:rPr>
            </w:pPr>
            <w:r>
              <w:rPr>
                <w:rFonts w:hint="eastAsia" w:cs="宋体"/>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夏季</w:t>
            </w:r>
          </w:p>
        </w:tc>
        <w:tc>
          <w:tcPr>
            <w:tcW w:w="262"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冬季</w:t>
            </w:r>
          </w:p>
        </w:tc>
        <w:tc>
          <w:tcPr>
            <w:tcW w:w="261"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夏季</w:t>
            </w:r>
          </w:p>
        </w:tc>
        <w:tc>
          <w:tcPr>
            <w:tcW w:w="298" w:type="pct"/>
            <w:noWrap w:val="0"/>
            <w:vAlign w:val="center"/>
          </w:tcPr>
          <w:p>
            <w:pPr>
              <w:spacing w:line="240" w:lineRule="auto"/>
              <w:jc w:val="center"/>
              <w:textAlignment w:val="center"/>
              <w:rPr>
                <w:rFonts w:cs="宋体"/>
                <w:sz w:val="15"/>
                <w:szCs w:val="21"/>
                <w:lang w:bidi="ar"/>
              </w:rPr>
            </w:pPr>
            <w:r>
              <w:rPr>
                <w:rFonts w:hint="eastAsia" w:cs="宋体"/>
                <w:sz w:val="15"/>
                <w:szCs w:val="21"/>
                <w:lang w:bidi="ar"/>
              </w:rPr>
              <w:t>冬季</w:t>
            </w:r>
          </w:p>
        </w:tc>
        <w:tc>
          <w:tcPr>
            <w:tcW w:w="477" w:type="pct"/>
            <w:vMerge w:val="continue"/>
            <w:noWrap w:val="0"/>
            <w:vAlign w:val="center"/>
          </w:tcPr>
          <w:p>
            <w:pPr>
              <w:spacing w:line="240" w:lineRule="auto"/>
              <w:jc w:val="center"/>
              <w:textAlignment w:val="center"/>
              <w:rPr>
                <w:rFonts w:cs="宋体"/>
                <w:sz w:val="15"/>
                <w:szCs w:val="21"/>
                <w:lang w:bidi="ar"/>
              </w:rPr>
            </w:pPr>
          </w:p>
        </w:tc>
        <w:tc>
          <w:tcPr>
            <w:tcW w:w="854" w:type="pct"/>
            <w:vMerge w:val="continue"/>
            <w:noWrap w:val="0"/>
            <w:vAlign w:val="center"/>
          </w:tcPr>
          <w:p>
            <w:pPr>
              <w:spacing w:line="240" w:lineRule="auto"/>
              <w:jc w:val="center"/>
              <w:textAlignment w:val="center"/>
              <w:rPr>
                <w:rFonts w:cs="宋体"/>
                <w:sz w:val="15"/>
                <w:szCs w:val="21"/>
                <w:lang w:bidi="ar"/>
              </w:rPr>
            </w:pPr>
          </w:p>
        </w:tc>
        <w:tc>
          <w:tcPr>
            <w:tcW w:w="821" w:type="pct"/>
            <w:vMerge w:val="continue"/>
            <w:noWrap w:val="0"/>
            <w:vAlign w:val="center"/>
          </w:tcPr>
          <w:p>
            <w:pPr>
              <w:spacing w:line="240" w:lineRule="auto"/>
              <w:jc w:val="center"/>
              <w:textAlignment w:val="center"/>
              <w:rPr>
                <w:rFonts w:cs="宋体"/>
                <w:sz w:val="15"/>
                <w:szCs w:val="21"/>
                <w:lang w:bidi="ar"/>
              </w:rPr>
            </w:pPr>
          </w:p>
        </w:tc>
        <w:tc>
          <w:tcPr>
            <w:tcW w:w="616" w:type="pct"/>
            <w:vMerge w:val="continue"/>
            <w:noWrap w:val="0"/>
            <w:vAlign w:val="center"/>
          </w:tcPr>
          <w:p>
            <w:pPr>
              <w:spacing w:line="240" w:lineRule="auto"/>
              <w:jc w:val="center"/>
              <w:textAlignment w:val="center"/>
              <w:rPr>
                <w:rFonts w:cs="宋体"/>
                <w:sz w:val="15"/>
                <w:szCs w:val="21"/>
                <w:lang w:bidi="ar"/>
              </w:rPr>
            </w:pPr>
          </w:p>
        </w:tc>
        <w:tc>
          <w:tcPr>
            <w:tcW w:w="698" w:type="pct"/>
            <w:vMerge w:val="continue"/>
            <w:noWrap w:val="0"/>
            <w:vAlign w:val="center"/>
          </w:tcPr>
          <w:p>
            <w:pPr>
              <w:spacing w:line="240" w:lineRule="auto"/>
              <w:jc w:val="center"/>
              <w:textAlignment w:val="center"/>
              <w:rPr>
                <w:rFonts w:cs="宋体"/>
                <w:sz w:val="15"/>
                <w:szCs w:val="21"/>
                <w:lang w:bidi="ar"/>
              </w:rPr>
            </w:pPr>
          </w:p>
        </w:tc>
        <w:tc>
          <w:tcPr>
            <w:tcW w:w="382" w:type="pct"/>
            <w:vMerge w:val="continue"/>
            <w:noWrap/>
            <w:vAlign w:val="center"/>
          </w:tcPr>
          <w:p>
            <w:pPr>
              <w:spacing w:line="240" w:lineRule="auto"/>
              <w:jc w:val="center"/>
              <w:textAlignment w:val="center"/>
              <w:rPr>
                <w:rFonts w:cs="宋体"/>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ign w:val="center"/>
          </w:tcPr>
          <w:p>
            <w:pPr>
              <w:spacing w:line="240" w:lineRule="auto"/>
              <w:rPr>
                <w:rFonts w:cs="宋体"/>
                <w:sz w:val="15"/>
                <w:szCs w:val="21"/>
              </w:rPr>
            </w:pPr>
          </w:p>
        </w:tc>
        <w:tc>
          <w:tcPr>
            <w:tcW w:w="262" w:type="pct"/>
            <w:noWrap/>
            <w:vAlign w:val="center"/>
          </w:tcPr>
          <w:p>
            <w:pPr>
              <w:spacing w:line="240" w:lineRule="auto"/>
              <w:rPr>
                <w:rFonts w:cs="宋体"/>
                <w:sz w:val="15"/>
                <w:szCs w:val="21"/>
              </w:rPr>
            </w:pPr>
          </w:p>
        </w:tc>
        <w:tc>
          <w:tcPr>
            <w:tcW w:w="261" w:type="pct"/>
            <w:noWrap/>
            <w:vAlign w:val="center"/>
          </w:tcPr>
          <w:p>
            <w:pPr>
              <w:spacing w:line="240" w:lineRule="auto"/>
              <w:jc w:val="center"/>
              <w:rPr>
                <w:rFonts w:cs="宋体"/>
                <w:sz w:val="15"/>
                <w:szCs w:val="21"/>
              </w:rPr>
            </w:pPr>
          </w:p>
        </w:tc>
        <w:tc>
          <w:tcPr>
            <w:tcW w:w="298" w:type="pct"/>
            <w:noWrap/>
            <w:vAlign w:val="center"/>
          </w:tcPr>
          <w:p>
            <w:pPr>
              <w:spacing w:line="240" w:lineRule="auto"/>
              <w:rPr>
                <w:rFonts w:cs="宋体"/>
                <w:sz w:val="15"/>
                <w:szCs w:val="21"/>
              </w:rPr>
            </w:pPr>
          </w:p>
        </w:tc>
        <w:tc>
          <w:tcPr>
            <w:tcW w:w="477" w:type="pct"/>
            <w:noWrap/>
            <w:vAlign w:val="center"/>
          </w:tcPr>
          <w:p>
            <w:pPr>
              <w:spacing w:line="240" w:lineRule="auto"/>
              <w:rPr>
                <w:rFonts w:cs="宋体"/>
                <w:sz w:val="15"/>
                <w:szCs w:val="21"/>
              </w:rPr>
            </w:pPr>
          </w:p>
        </w:tc>
        <w:tc>
          <w:tcPr>
            <w:tcW w:w="854" w:type="pct"/>
            <w:noWrap/>
            <w:vAlign w:val="center"/>
          </w:tcPr>
          <w:p>
            <w:pPr>
              <w:spacing w:line="240" w:lineRule="auto"/>
              <w:rPr>
                <w:rFonts w:cs="宋体"/>
                <w:sz w:val="15"/>
                <w:szCs w:val="21"/>
              </w:rPr>
            </w:pPr>
          </w:p>
        </w:tc>
        <w:tc>
          <w:tcPr>
            <w:tcW w:w="821" w:type="pct"/>
            <w:noWrap/>
            <w:vAlign w:val="center"/>
          </w:tcPr>
          <w:p>
            <w:pPr>
              <w:spacing w:line="240" w:lineRule="auto"/>
              <w:rPr>
                <w:rFonts w:cs="宋体"/>
                <w:sz w:val="15"/>
                <w:szCs w:val="21"/>
              </w:rPr>
            </w:pPr>
          </w:p>
        </w:tc>
        <w:tc>
          <w:tcPr>
            <w:tcW w:w="616" w:type="pct"/>
            <w:noWrap/>
            <w:vAlign w:val="center"/>
          </w:tcPr>
          <w:p>
            <w:pPr>
              <w:spacing w:line="240" w:lineRule="auto"/>
              <w:rPr>
                <w:rFonts w:cs="宋体"/>
                <w:sz w:val="15"/>
                <w:szCs w:val="21"/>
              </w:rPr>
            </w:pPr>
          </w:p>
        </w:tc>
        <w:tc>
          <w:tcPr>
            <w:tcW w:w="698" w:type="pct"/>
            <w:noWrap/>
            <w:vAlign w:val="center"/>
          </w:tcPr>
          <w:p>
            <w:pPr>
              <w:spacing w:line="240" w:lineRule="auto"/>
              <w:rPr>
                <w:rFonts w:cs="宋体"/>
                <w:sz w:val="15"/>
                <w:szCs w:val="21"/>
              </w:rPr>
            </w:pPr>
          </w:p>
        </w:tc>
        <w:tc>
          <w:tcPr>
            <w:tcW w:w="382"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ign w:val="center"/>
          </w:tcPr>
          <w:p>
            <w:pPr>
              <w:spacing w:line="240" w:lineRule="auto"/>
              <w:rPr>
                <w:rFonts w:cs="宋体"/>
                <w:sz w:val="15"/>
                <w:szCs w:val="21"/>
              </w:rPr>
            </w:pPr>
          </w:p>
        </w:tc>
        <w:tc>
          <w:tcPr>
            <w:tcW w:w="262" w:type="pct"/>
            <w:noWrap/>
            <w:vAlign w:val="center"/>
          </w:tcPr>
          <w:p>
            <w:pPr>
              <w:spacing w:line="240" w:lineRule="auto"/>
              <w:rPr>
                <w:rFonts w:cs="宋体"/>
                <w:sz w:val="15"/>
                <w:szCs w:val="21"/>
              </w:rPr>
            </w:pPr>
          </w:p>
        </w:tc>
        <w:tc>
          <w:tcPr>
            <w:tcW w:w="261" w:type="pct"/>
            <w:noWrap/>
            <w:vAlign w:val="center"/>
          </w:tcPr>
          <w:p>
            <w:pPr>
              <w:spacing w:line="240" w:lineRule="auto"/>
              <w:jc w:val="center"/>
              <w:rPr>
                <w:rFonts w:cs="宋体"/>
                <w:sz w:val="15"/>
                <w:szCs w:val="21"/>
              </w:rPr>
            </w:pPr>
          </w:p>
        </w:tc>
        <w:tc>
          <w:tcPr>
            <w:tcW w:w="298" w:type="pct"/>
            <w:noWrap/>
            <w:vAlign w:val="center"/>
          </w:tcPr>
          <w:p>
            <w:pPr>
              <w:spacing w:line="240" w:lineRule="auto"/>
              <w:rPr>
                <w:rFonts w:cs="宋体"/>
                <w:sz w:val="15"/>
                <w:szCs w:val="21"/>
              </w:rPr>
            </w:pPr>
          </w:p>
        </w:tc>
        <w:tc>
          <w:tcPr>
            <w:tcW w:w="477" w:type="pct"/>
            <w:noWrap/>
            <w:vAlign w:val="center"/>
          </w:tcPr>
          <w:p>
            <w:pPr>
              <w:spacing w:line="240" w:lineRule="auto"/>
              <w:rPr>
                <w:rFonts w:cs="宋体"/>
                <w:sz w:val="15"/>
                <w:szCs w:val="21"/>
              </w:rPr>
            </w:pPr>
          </w:p>
        </w:tc>
        <w:tc>
          <w:tcPr>
            <w:tcW w:w="854" w:type="pct"/>
            <w:noWrap/>
            <w:vAlign w:val="center"/>
          </w:tcPr>
          <w:p>
            <w:pPr>
              <w:spacing w:line="240" w:lineRule="auto"/>
              <w:rPr>
                <w:rFonts w:cs="宋体"/>
                <w:sz w:val="15"/>
                <w:szCs w:val="21"/>
              </w:rPr>
            </w:pPr>
          </w:p>
        </w:tc>
        <w:tc>
          <w:tcPr>
            <w:tcW w:w="821" w:type="pct"/>
            <w:noWrap/>
            <w:vAlign w:val="center"/>
          </w:tcPr>
          <w:p>
            <w:pPr>
              <w:spacing w:line="240" w:lineRule="auto"/>
              <w:rPr>
                <w:rFonts w:cs="宋体"/>
                <w:sz w:val="15"/>
                <w:szCs w:val="21"/>
              </w:rPr>
            </w:pPr>
          </w:p>
        </w:tc>
        <w:tc>
          <w:tcPr>
            <w:tcW w:w="616" w:type="pct"/>
            <w:noWrap/>
            <w:vAlign w:val="center"/>
          </w:tcPr>
          <w:p>
            <w:pPr>
              <w:spacing w:line="240" w:lineRule="auto"/>
              <w:rPr>
                <w:rFonts w:cs="宋体"/>
                <w:sz w:val="15"/>
                <w:szCs w:val="21"/>
              </w:rPr>
            </w:pPr>
          </w:p>
        </w:tc>
        <w:tc>
          <w:tcPr>
            <w:tcW w:w="698" w:type="pct"/>
            <w:noWrap/>
            <w:vAlign w:val="center"/>
          </w:tcPr>
          <w:p>
            <w:pPr>
              <w:spacing w:line="240" w:lineRule="auto"/>
              <w:rPr>
                <w:rFonts w:cs="宋体"/>
                <w:sz w:val="15"/>
                <w:szCs w:val="21"/>
              </w:rPr>
            </w:pPr>
          </w:p>
        </w:tc>
        <w:tc>
          <w:tcPr>
            <w:tcW w:w="382"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31" w:type="pct"/>
            <w:noWrap/>
            <w:vAlign w:val="center"/>
          </w:tcPr>
          <w:p>
            <w:pPr>
              <w:spacing w:line="240" w:lineRule="auto"/>
              <w:rPr>
                <w:rFonts w:cs="宋体"/>
                <w:sz w:val="15"/>
                <w:szCs w:val="21"/>
              </w:rPr>
            </w:pPr>
          </w:p>
        </w:tc>
        <w:tc>
          <w:tcPr>
            <w:tcW w:w="262" w:type="pct"/>
            <w:noWrap/>
            <w:vAlign w:val="center"/>
          </w:tcPr>
          <w:p>
            <w:pPr>
              <w:spacing w:line="240" w:lineRule="auto"/>
              <w:rPr>
                <w:rFonts w:cs="宋体"/>
                <w:sz w:val="15"/>
                <w:szCs w:val="21"/>
              </w:rPr>
            </w:pPr>
          </w:p>
        </w:tc>
        <w:tc>
          <w:tcPr>
            <w:tcW w:w="261" w:type="pct"/>
            <w:noWrap/>
            <w:vAlign w:val="center"/>
          </w:tcPr>
          <w:p>
            <w:pPr>
              <w:spacing w:line="240" w:lineRule="auto"/>
              <w:jc w:val="center"/>
              <w:rPr>
                <w:rFonts w:cs="宋体"/>
                <w:sz w:val="15"/>
                <w:szCs w:val="21"/>
              </w:rPr>
            </w:pPr>
          </w:p>
        </w:tc>
        <w:tc>
          <w:tcPr>
            <w:tcW w:w="298" w:type="pct"/>
            <w:noWrap/>
            <w:vAlign w:val="center"/>
          </w:tcPr>
          <w:p>
            <w:pPr>
              <w:spacing w:line="240" w:lineRule="auto"/>
              <w:rPr>
                <w:rFonts w:cs="宋体"/>
                <w:sz w:val="15"/>
                <w:szCs w:val="21"/>
              </w:rPr>
            </w:pPr>
          </w:p>
        </w:tc>
        <w:tc>
          <w:tcPr>
            <w:tcW w:w="477" w:type="pct"/>
            <w:noWrap/>
            <w:vAlign w:val="center"/>
          </w:tcPr>
          <w:p>
            <w:pPr>
              <w:spacing w:line="240" w:lineRule="auto"/>
              <w:rPr>
                <w:rFonts w:cs="宋体"/>
                <w:sz w:val="15"/>
                <w:szCs w:val="21"/>
              </w:rPr>
            </w:pPr>
          </w:p>
        </w:tc>
        <w:tc>
          <w:tcPr>
            <w:tcW w:w="854" w:type="pct"/>
            <w:noWrap/>
            <w:vAlign w:val="center"/>
          </w:tcPr>
          <w:p>
            <w:pPr>
              <w:spacing w:line="240" w:lineRule="auto"/>
              <w:rPr>
                <w:rFonts w:cs="宋体"/>
                <w:sz w:val="15"/>
                <w:szCs w:val="21"/>
              </w:rPr>
            </w:pPr>
          </w:p>
        </w:tc>
        <w:tc>
          <w:tcPr>
            <w:tcW w:w="821" w:type="pct"/>
            <w:noWrap/>
            <w:vAlign w:val="center"/>
          </w:tcPr>
          <w:p>
            <w:pPr>
              <w:spacing w:line="240" w:lineRule="auto"/>
              <w:rPr>
                <w:rFonts w:cs="宋体"/>
                <w:sz w:val="15"/>
                <w:szCs w:val="21"/>
              </w:rPr>
            </w:pPr>
          </w:p>
        </w:tc>
        <w:tc>
          <w:tcPr>
            <w:tcW w:w="616" w:type="pct"/>
            <w:noWrap/>
            <w:vAlign w:val="center"/>
          </w:tcPr>
          <w:p>
            <w:pPr>
              <w:spacing w:line="240" w:lineRule="auto"/>
              <w:rPr>
                <w:rFonts w:cs="宋体"/>
                <w:sz w:val="15"/>
                <w:szCs w:val="21"/>
              </w:rPr>
            </w:pPr>
          </w:p>
        </w:tc>
        <w:tc>
          <w:tcPr>
            <w:tcW w:w="698" w:type="pct"/>
            <w:noWrap/>
            <w:vAlign w:val="center"/>
          </w:tcPr>
          <w:p>
            <w:pPr>
              <w:spacing w:line="240" w:lineRule="auto"/>
              <w:rPr>
                <w:rFonts w:cs="宋体"/>
                <w:sz w:val="15"/>
                <w:szCs w:val="21"/>
              </w:rPr>
            </w:pPr>
          </w:p>
        </w:tc>
        <w:tc>
          <w:tcPr>
            <w:tcW w:w="382"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152" w:type="pct"/>
            <w:gridSpan w:val="4"/>
            <w:noWrap/>
            <w:vAlign w:val="center"/>
          </w:tcPr>
          <w:p>
            <w:pPr>
              <w:spacing w:line="240" w:lineRule="auto"/>
              <w:jc w:val="center"/>
              <w:rPr>
                <w:rFonts w:cs="宋体"/>
                <w:sz w:val="15"/>
                <w:szCs w:val="21"/>
              </w:rPr>
            </w:pPr>
            <w:r>
              <w:rPr>
                <w:rFonts w:hint="eastAsia" w:cs="宋体"/>
                <w:sz w:val="15"/>
                <w:szCs w:val="21"/>
              </w:rPr>
              <w:t>小计</w:t>
            </w:r>
          </w:p>
        </w:tc>
        <w:tc>
          <w:tcPr>
            <w:tcW w:w="3848" w:type="pct"/>
            <w:gridSpan w:val="6"/>
            <w:noWrap/>
            <w:vAlign w:val="center"/>
          </w:tcPr>
          <w:p>
            <w:pPr>
              <w:spacing w:line="240" w:lineRule="auto"/>
              <w:rPr>
                <w:rFonts w:cs="宋体"/>
                <w:sz w:val="15"/>
                <w:szCs w:val="21"/>
              </w:rPr>
            </w:pPr>
          </w:p>
        </w:tc>
      </w:tr>
    </w:tbl>
    <w:p>
      <w:pPr>
        <w:spacing w:line="240" w:lineRule="auto"/>
        <w:ind w:firstLine="421" w:firstLineChars="200"/>
        <w:rPr>
          <w:b/>
          <w:bCs/>
          <w:szCs w:val="21"/>
        </w:rPr>
      </w:pPr>
    </w:p>
    <w:p>
      <w:pPr>
        <w:widowControl/>
        <w:spacing w:line="240" w:lineRule="auto"/>
        <w:jc w:val="left"/>
        <w:rPr>
          <w:b/>
          <w:bCs/>
          <w:szCs w:val="21"/>
        </w:rPr>
      </w:pPr>
      <w:r>
        <w:rPr>
          <w:b/>
          <w:bCs/>
          <w:szCs w:val="21"/>
        </w:rPr>
        <w:br w:type="page"/>
      </w:r>
    </w:p>
    <w:p>
      <w:pPr>
        <w:spacing w:line="240" w:lineRule="auto"/>
        <w:ind w:firstLine="421" w:firstLineChars="200"/>
        <w:rPr>
          <w:bCs/>
          <w:szCs w:val="21"/>
        </w:rPr>
      </w:pPr>
      <w:r>
        <w:rPr>
          <w:rFonts w:hint="eastAsia"/>
          <w:b/>
          <w:bCs/>
          <w:szCs w:val="21"/>
        </w:rPr>
        <w:t>2</w:t>
      </w:r>
      <w:r>
        <w:rPr>
          <w:rFonts w:hint="eastAsia"/>
          <w:szCs w:val="21"/>
        </w:rPr>
        <w:t xml:space="preserve"> </w:t>
      </w:r>
      <w:r>
        <w:rPr>
          <w:szCs w:val="21"/>
        </w:rPr>
        <w:t xml:space="preserve"> </w:t>
      </w:r>
      <w:r>
        <w:rPr>
          <w:rFonts w:hint="eastAsia"/>
          <w:bCs/>
          <w:szCs w:val="21"/>
        </w:rPr>
        <w:t>日常维护碳排放</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73"/>
        <w:gridCol w:w="704"/>
        <w:gridCol w:w="710"/>
        <w:gridCol w:w="708"/>
        <w:gridCol w:w="708"/>
        <w:gridCol w:w="708"/>
        <w:gridCol w:w="708"/>
        <w:gridCol w:w="875"/>
        <w:gridCol w:w="541"/>
        <w:gridCol w:w="709"/>
        <w:gridCol w:w="743"/>
        <w:gridCol w:w="698"/>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restart"/>
            <w:noWrap/>
            <w:textDirection w:val="tbLrV"/>
            <w:vAlign w:val="center"/>
          </w:tcPr>
          <w:p>
            <w:pPr>
              <w:spacing w:line="240" w:lineRule="auto"/>
              <w:ind w:left="113" w:right="113"/>
              <w:jc w:val="center"/>
              <w:textAlignment w:val="center"/>
              <w:rPr>
                <w:sz w:val="15"/>
                <w:szCs w:val="21"/>
              </w:rPr>
            </w:pPr>
            <w:r>
              <w:rPr>
                <w:rFonts w:hint="eastAsia" w:cs="宋体"/>
                <w:bCs/>
                <w:spacing w:val="85"/>
                <w:sz w:val="15"/>
                <w:szCs w:val="21"/>
                <w:lang w:bidi="ar"/>
              </w:rPr>
              <w:t>日常维护机械设备</w:t>
            </w:r>
          </w:p>
        </w:tc>
        <w:tc>
          <w:tcPr>
            <w:tcW w:w="380" w:type="pct"/>
            <w:noWrap/>
            <w:vAlign w:val="center"/>
          </w:tcPr>
          <w:p>
            <w:pPr>
              <w:spacing w:line="240" w:lineRule="auto"/>
              <w:jc w:val="center"/>
              <w:textAlignment w:val="center"/>
              <w:rPr>
                <w:bCs/>
                <w:sz w:val="15"/>
                <w:szCs w:val="21"/>
              </w:rPr>
            </w:pPr>
            <w:r>
              <w:rPr>
                <w:rFonts w:cs="宋体"/>
                <w:bCs/>
                <w:sz w:val="15"/>
                <w:szCs w:val="21"/>
                <w:lang w:bidi="ar"/>
              </w:rPr>
              <w:t>设备</w:t>
            </w:r>
          </w:p>
        </w:tc>
        <w:tc>
          <w:tcPr>
            <w:tcW w:w="383" w:type="pct"/>
            <w:noWrap/>
            <w:vAlign w:val="center"/>
          </w:tcPr>
          <w:p>
            <w:pPr>
              <w:spacing w:line="240" w:lineRule="auto"/>
              <w:jc w:val="center"/>
              <w:textAlignment w:val="center"/>
              <w:rPr>
                <w:bCs/>
                <w:sz w:val="15"/>
                <w:szCs w:val="21"/>
              </w:rPr>
            </w:pPr>
            <w:r>
              <w:rPr>
                <w:rFonts w:cs="宋体"/>
                <w:bCs/>
                <w:sz w:val="15"/>
                <w:szCs w:val="21"/>
                <w:lang w:bidi="ar"/>
              </w:rPr>
              <w:t>性能规格</w:t>
            </w:r>
          </w:p>
        </w:tc>
        <w:tc>
          <w:tcPr>
            <w:tcW w:w="382" w:type="pct"/>
            <w:noWrap/>
            <w:vAlign w:val="center"/>
          </w:tcPr>
          <w:p>
            <w:pPr>
              <w:spacing w:line="240" w:lineRule="auto"/>
              <w:jc w:val="center"/>
              <w:textAlignment w:val="center"/>
              <w:rPr>
                <w:bCs/>
                <w:sz w:val="15"/>
                <w:szCs w:val="21"/>
              </w:rPr>
            </w:pPr>
            <w:r>
              <w:rPr>
                <w:rFonts w:cs="宋体"/>
                <w:bCs/>
                <w:sz w:val="15"/>
                <w:szCs w:val="21"/>
                <w:lang w:bidi="ar"/>
              </w:rPr>
              <w:t>数量</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汽油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柴油</w:t>
            </w:r>
          </w:p>
          <w:p>
            <w:pPr>
              <w:spacing w:line="240" w:lineRule="auto"/>
              <w:jc w:val="center"/>
              <w:textAlignment w:val="center"/>
              <w:rPr>
                <w:bCs/>
                <w:sz w:val="15"/>
                <w:szCs w:val="21"/>
              </w:rPr>
            </w:pPr>
            <w:r>
              <w:rPr>
                <w:rFonts w:cs="宋体"/>
                <w:bCs/>
                <w:sz w:val="15"/>
                <w:szCs w:val="21"/>
                <w:lang w:bidi="ar"/>
              </w:rPr>
              <w:t>（kg）</w:t>
            </w:r>
          </w:p>
        </w:tc>
        <w:tc>
          <w:tcPr>
            <w:tcW w:w="382" w:type="pct"/>
            <w:noWrap/>
            <w:vAlign w:val="center"/>
          </w:tcPr>
          <w:p>
            <w:pPr>
              <w:spacing w:line="240" w:lineRule="auto"/>
              <w:jc w:val="center"/>
              <w:textAlignment w:val="center"/>
              <w:rPr>
                <w:rFonts w:cs="宋体"/>
                <w:bCs/>
                <w:sz w:val="15"/>
                <w:szCs w:val="21"/>
                <w:lang w:bidi="ar"/>
              </w:rPr>
            </w:pPr>
            <w:r>
              <w:rPr>
                <w:rFonts w:cs="宋体"/>
                <w:bCs/>
                <w:sz w:val="15"/>
                <w:szCs w:val="21"/>
                <w:lang w:bidi="ar"/>
              </w:rPr>
              <w:t>电力</w:t>
            </w:r>
          </w:p>
          <w:p>
            <w:pPr>
              <w:spacing w:line="240" w:lineRule="auto"/>
              <w:jc w:val="center"/>
              <w:textAlignment w:val="center"/>
              <w:rPr>
                <w:bCs/>
                <w:sz w:val="15"/>
                <w:szCs w:val="21"/>
              </w:rPr>
            </w:pPr>
            <w:r>
              <w:rPr>
                <w:rFonts w:cs="宋体"/>
                <w:bCs/>
                <w:sz w:val="15"/>
                <w:szCs w:val="21"/>
                <w:lang w:bidi="ar"/>
              </w:rPr>
              <w:t>（KWh）</w:t>
            </w:r>
          </w:p>
        </w:tc>
        <w:tc>
          <w:tcPr>
            <w:tcW w:w="472"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t</w:t>
            </w:r>
            <w:r>
              <w:rPr>
                <w:rFonts w:cs="宋体"/>
                <w:bCs/>
                <w:sz w:val="15"/>
                <w:szCs w:val="21"/>
                <w:lang w:bidi="ar"/>
              </w:rPr>
              <w:t>）</w:t>
            </w:r>
          </w:p>
        </w:tc>
        <w:tc>
          <w:tcPr>
            <w:tcW w:w="29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台班数</w:t>
            </w:r>
          </w:p>
          <w:p>
            <w:pPr>
              <w:spacing w:line="240" w:lineRule="auto"/>
              <w:jc w:val="center"/>
              <w:textAlignment w:val="center"/>
              <w:rPr>
                <w:bCs/>
                <w:sz w:val="15"/>
                <w:szCs w:val="21"/>
              </w:rPr>
            </w:pPr>
            <w:r>
              <w:rPr>
                <w:rFonts w:cs="宋体"/>
                <w:bCs/>
                <w:sz w:val="15"/>
                <w:szCs w:val="21"/>
                <w:lang w:bidi="ar"/>
              </w:rPr>
              <w:t>（个）</w:t>
            </w:r>
          </w:p>
        </w:tc>
        <w:tc>
          <w:tcPr>
            <w:tcW w:w="38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耗能定额</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t</w:t>
            </w:r>
            <w:r>
              <w:rPr>
                <w:rFonts w:cs="宋体"/>
                <w:bCs/>
                <w:sz w:val="15"/>
                <w:szCs w:val="21"/>
                <w:lang w:bidi="ar"/>
              </w:rPr>
              <w:t>/台班或KWh）</w:t>
            </w:r>
          </w:p>
        </w:tc>
        <w:tc>
          <w:tcPr>
            <w:tcW w:w="388"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碳排放量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376" w:type="pct"/>
            <w:noWrap w:val="0"/>
            <w:vAlign w:val="center"/>
          </w:tcPr>
          <w:p>
            <w:pPr>
              <w:spacing w:line="240" w:lineRule="auto"/>
              <w:jc w:val="center"/>
              <w:textAlignment w:val="center"/>
              <w:rPr>
                <w:bCs/>
                <w:sz w:val="15"/>
                <w:szCs w:val="21"/>
              </w:rPr>
            </w:pPr>
            <w:r>
              <w:rPr>
                <w:rFonts w:cs="宋体"/>
                <w:bCs/>
                <w:sz w:val="15"/>
                <w:szCs w:val="21"/>
                <w:lang w:bidi="ar"/>
              </w:rPr>
              <w:t>优化建议</w:t>
            </w:r>
          </w:p>
        </w:tc>
        <w:tc>
          <w:tcPr>
            <w:tcW w:w="382" w:type="pct"/>
            <w:noWrap w:val="0"/>
            <w:vAlign w:val="center"/>
          </w:tcPr>
          <w:p>
            <w:pPr>
              <w:spacing w:line="240" w:lineRule="auto"/>
              <w:jc w:val="center"/>
              <w:textAlignment w:val="center"/>
              <w:rPr>
                <w:bCs/>
                <w:sz w:val="15"/>
                <w:szCs w:val="21"/>
              </w:rPr>
            </w:pPr>
            <w:r>
              <w:rPr>
                <w:rFonts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textAlignment w:val="center"/>
              <w:rPr>
                <w:sz w:val="15"/>
                <w:szCs w:val="21"/>
              </w:rPr>
            </w:pPr>
          </w:p>
        </w:tc>
        <w:tc>
          <w:tcPr>
            <w:tcW w:w="292" w:type="pct"/>
            <w:noWrap/>
            <w:vAlign w:val="center"/>
          </w:tcPr>
          <w:p>
            <w:pPr>
              <w:spacing w:line="240" w:lineRule="auto"/>
              <w:jc w:val="center"/>
              <w:textAlignment w:val="center"/>
              <w:rPr>
                <w:sz w:val="15"/>
                <w:szCs w:val="21"/>
              </w:rPr>
            </w:pPr>
          </w:p>
        </w:tc>
        <w:tc>
          <w:tcPr>
            <w:tcW w:w="382" w:type="pct"/>
            <w:noWrap/>
            <w:vAlign w:val="center"/>
          </w:tcPr>
          <w:p>
            <w:pPr>
              <w:spacing w:line="240" w:lineRule="auto"/>
              <w:jc w:val="center"/>
              <w:textAlignment w:val="center"/>
              <w:rPr>
                <w:sz w:val="15"/>
                <w:szCs w:val="21"/>
              </w:rPr>
            </w:pPr>
          </w:p>
        </w:tc>
        <w:tc>
          <w:tcPr>
            <w:tcW w:w="388" w:type="pct"/>
            <w:noWrap/>
            <w:vAlign w:val="center"/>
          </w:tcPr>
          <w:p>
            <w:pPr>
              <w:spacing w:line="240" w:lineRule="auto"/>
              <w:jc w:val="center"/>
              <w:textAlignment w:val="center"/>
              <w:rPr>
                <w:sz w:val="15"/>
                <w:szCs w:val="21"/>
              </w:rPr>
            </w:pPr>
          </w:p>
        </w:tc>
        <w:tc>
          <w:tcPr>
            <w:tcW w:w="376" w:type="pct"/>
            <w:noWrap/>
            <w:vAlign w:val="center"/>
          </w:tcPr>
          <w:p>
            <w:pPr>
              <w:spacing w:line="240" w:lineRule="auto"/>
              <w:jc w:val="center"/>
              <w:rPr>
                <w:sz w:val="15"/>
                <w:szCs w:val="21"/>
              </w:rPr>
            </w:pPr>
          </w:p>
        </w:tc>
        <w:tc>
          <w:tcPr>
            <w:tcW w:w="382" w:type="pct"/>
            <w:noWrap w:val="0"/>
            <w:vAlign w:val="center"/>
          </w:tcPr>
          <w:p>
            <w:pPr>
              <w:spacing w:line="240" w:lineRule="auto"/>
              <w:jc w:val="center"/>
              <w:textAlignment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17" w:type="pct"/>
            <w:vMerge w:val="continue"/>
            <w:noWrap/>
            <w:vAlign w:val="center"/>
          </w:tcPr>
          <w:p>
            <w:pPr>
              <w:spacing w:line="240" w:lineRule="auto"/>
              <w:jc w:val="center"/>
              <w:rPr>
                <w:sz w:val="15"/>
                <w:szCs w:val="21"/>
              </w:rPr>
            </w:pPr>
          </w:p>
        </w:tc>
        <w:tc>
          <w:tcPr>
            <w:tcW w:w="380" w:type="pct"/>
            <w:noWrap/>
            <w:vAlign w:val="center"/>
          </w:tcPr>
          <w:p>
            <w:pPr>
              <w:spacing w:line="240" w:lineRule="auto"/>
              <w:jc w:val="center"/>
              <w:textAlignment w:val="center"/>
              <w:rPr>
                <w:sz w:val="15"/>
                <w:szCs w:val="21"/>
              </w:rPr>
            </w:pPr>
            <w:r>
              <w:rPr>
                <w:rFonts w:cs="宋体"/>
                <w:sz w:val="15"/>
                <w:szCs w:val="21"/>
                <w:lang w:bidi="ar"/>
              </w:rPr>
              <w:t>小计</w:t>
            </w:r>
          </w:p>
        </w:tc>
        <w:tc>
          <w:tcPr>
            <w:tcW w:w="383"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c>
          <w:tcPr>
            <w:tcW w:w="472" w:type="pct"/>
            <w:noWrap/>
            <w:vAlign w:val="center"/>
          </w:tcPr>
          <w:p>
            <w:pPr>
              <w:spacing w:line="240" w:lineRule="auto"/>
              <w:jc w:val="center"/>
              <w:rPr>
                <w:sz w:val="15"/>
                <w:szCs w:val="21"/>
              </w:rPr>
            </w:pPr>
          </w:p>
        </w:tc>
        <w:tc>
          <w:tcPr>
            <w:tcW w:w="292" w:type="pct"/>
            <w:noWrap/>
            <w:vAlign w:val="center"/>
          </w:tcPr>
          <w:p>
            <w:pPr>
              <w:spacing w:line="240" w:lineRule="auto"/>
              <w:jc w:val="center"/>
              <w:rPr>
                <w:bCs/>
                <w:sz w:val="15"/>
                <w:szCs w:val="21"/>
              </w:rPr>
            </w:pPr>
          </w:p>
        </w:tc>
        <w:tc>
          <w:tcPr>
            <w:tcW w:w="382" w:type="pct"/>
            <w:noWrap/>
            <w:vAlign w:val="center"/>
          </w:tcPr>
          <w:p>
            <w:pPr>
              <w:spacing w:line="240" w:lineRule="auto"/>
              <w:jc w:val="center"/>
              <w:rPr>
                <w:bCs/>
                <w:sz w:val="15"/>
                <w:szCs w:val="21"/>
              </w:rPr>
            </w:pPr>
          </w:p>
        </w:tc>
        <w:tc>
          <w:tcPr>
            <w:tcW w:w="388" w:type="pct"/>
            <w:noWrap/>
            <w:vAlign w:val="center"/>
          </w:tcPr>
          <w:p>
            <w:pPr>
              <w:spacing w:line="240" w:lineRule="auto"/>
              <w:jc w:val="center"/>
              <w:rPr>
                <w:sz w:val="15"/>
                <w:szCs w:val="21"/>
              </w:rPr>
            </w:pPr>
          </w:p>
        </w:tc>
        <w:tc>
          <w:tcPr>
            <w:tcW w:w="376" w:type="pct"/>
            <w:noWrap/>
            <w:vAlign w:val="center"/>
          </w:tcPr>
          <w:p>
            <w:pPr>
              <w:spacing w:line="240" w:lineRule="auto"/>
              <w:jc w:val="center"/>
              <w:rPr>
                <w:sz w:val="15"/>
                <w:szCs w:val="21"/>
              </w:rPr>
            </w:pPr>
          </w:p>
        </w:tc>
        <w:tc>
          <w:tcPr>
            <w:tcW w:w="382" w:type="pct"/>
            <w:noWrap/>
            <w:vAlign w:val="center"/>
          </w:tcPr>
          <w:p>
            <w:pPr>
              <w:spacing w:line="240" w:lineRule="auto"/>
              <w:jc w:val="center"/>
              <w:rPr>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5</w:t>
      </w:r>
      <w:r>
        <w:rPr>
          <w:rFonts w:hint="eastAsia"/>
          <w:szCs w:val="21"/>
        </w:rPr>
        <w:t xml:space="preserve"> </w:t>
      </w:r>
      <w:r>
        <w:rPr>
          <w:szCs w:val="21"/>
        </w:rPr>
        <w:t xml:space="preserve"> </w:t>
      </w:r>
      <w:r>
        <w:rPr>
          <w:rFonts w:hint="eastAsia"/>
          <w:szCs w:val="21"/>
        </w:rPr>
        <w:t>拆除阶段计算表单</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56"/>
        <w:gridCol w:w="970"/>
        <w:gridCol w:w="972"/>
        <w:gridCol w:w="972"/>
        <w:gridCol w:w="693"/>
        <w:gridCol w:w="277"/>
        <w:gridCol w:w="972"/>
        <w:gridCol w:w="461"/>
        <w:gridCol w:w="511"/>
        <w:gridCol w:w="970"/>
        <w:gridCol w:w="229"/>
        <w:gridCol w:w="744"/>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restart"/>
            <w:noWrap/>
            <w:textDirection w:val="tbLrV"/>
            <w:vAlign w:val="center"/>
          </w:tcPr>
          <w:p>
            <w:pPr>
              <w:adjustRightInd w:val="0"/>
              <w:snapToGrid w:val="0"/>
              <w:spacing w:line="240" w:lineRule="auto"/>
              <w:ind w:left="113" w:right="113"/>
              <w:jc w:val="center"/>
              <w:textAlignment w:val="center"/>
              <w:rPr>
                <w:sz w:val="15"/>
                <w:szCs w:val="21"/>
              </w:rPr>
            </w:pPr>
            <w:r>
              <w:rPr>
                <w:rFonts w:hint="eastAsia" w:cs="宋体"/>
                <w:bCs/>
                <w:spacing w:val="113"/>
                <w:sz w:val="15"/>
                <w:szCs w:val="21"/>
                <w:lang w:bidi="ar"/>
              </w:rPr>
              <w:t>拆除阶段</w:t>
            </w:r>
          </w:p>
        </w:tc>
        <w:tc>
          <w:tcPr>
            <w:tcW w:w="1045" w:type="pct"/>
            <w:gridSpan w:val="2"/>
            <w:noWrap/>
            <w:vAlign w:val="center"/>
          </w:tcPr>
          <w:p>
            <w:pPr>
              <w:adjustRightInd w:val="0"/>
              <w:snapToGrid w:val="0"/>
              <w:spacing w:line="240" w:lineRule="auto"/>
              <w:jc w:val="center"/>
              <w:textAlignment w:val="center"/>
              <w:rPr>
                <w:bCs/>
                <w:sz w:val="15"/>
                <w:szCs w:val="21"/>
              </w:rPr>
            </w:pPr>
            <w:r>
              <w:rPr>
                <w:rFonts w:cs="宋体"/>
                <w:bCs/>
                <w:sz w:val="15"/>
                <w:szCs w:val="21"/>
                <w:lang w:bidi="ar"/>
              </w:rPr>
              <w:t>项目</w:t>
            </w:r>
          </w:p>
        </w:tc>
        <w:tc>
          <w:tcPr>
            <w:tcW w:w="896" w:type="pct"/>
            <w:gridSpan w:val="2"/>
            <w:noWrap/>
            <w:vAlign w:val="center"/>
          </w:tcPr>
          <w:p>
            <w:pPr>
              <w:adjustRightInd w:val="0"/>
              <w:snapToGrid w:val="0"/>
              <w:spacing w:line="240" w:lineRule="auto"/>
              <w:jc w:val="center"/>
              <w:textAlignment w:val="center"/>
              <w:rPr>
                <w:rFonts w:cs="宋体"/>
                <w:bCs/>
                <w:sz w:val="15"/>
                <w:szCs w:val="21"/>
                <w:lang w:bidi="ar"/>
              </w:rPr>
            </w:pPr>
            <w:r>
              <w:rPr>
                <w:rFonts w:cs="宋体"/>
                <w:bCs/>
                <w:sz w:val="15"/>
                <w:szCs w:val="21"/>
                <w:lang w:bidi="ar"/>
              </w:rPr>
              <w:t>碳排放因子</w:t>
            </w:r>
          </w:p>
          <w:p>
            <w:pPr>
              <w:adjustRightInd w:val="0"/>
              <w:snapToGrid w:val="0"/>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920" w:type="pct"/>
            <w:gridSpan w:val="3"/>
            <w:noWrap/>
            <w:vAlign w:val="center"/>
          </w:tcPr>
          <w:p>
            <w:pPr>
              <w:adjustRightInd w:val="0"/>
              <w:snapToGrid w:val="0"/>
              <w:spacing w:line="240" w:lineRule="auto"/>
              <w:jc w:val="center"/>
              <w:textAlignment w:val="center"/>
              <w:rPr>
                <w:rFonts w:cs="宋体"/>
                <w:bCs/>
                <w:sz w:val="15"/>
                <w:szCs w:val="21"/>
                <w:lang w:bidi="ar"/>
              </w:rPr>
            </w:pPr>
            <w:r>
              <w:rPr>
                <w:rFonts w:cs="宋体"/>
                <w:bCs/>
                <w:sz w:val="15"/>
                <w:szCs w:val="21"/>
                <w:lang w:bidi="ar"/>
              </w:rPr>
              <w:t>消耗量</w:t>
            </w:r>
          </w:p>
          <w:p>
            <w:pPr>
              <w:adjustRightInd w:val="0"/>
              <w:snapToGrid w:val="0"/>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工日</w:t>
            </w:r>
            <w:r>
              <w:rPr>
                <w:rFonts w:cs="宋体"/>
                <w:bCs/>
                <w:sz w:val="15"/>
                <w:szCs w:val="21"/>
                <w:lang w:bidi="ar"/>
              </w:rPr>
              <w:t>）</w:t>
            </w:r>
          </w:p>
        </w:tc>
        <w:tc>
          <w:tcPr>
            <w:tcW w:w="920" w:type="pct"/>
            <w:gridSpan w:val="3"/>
            <w:noWrap w:val="0"/>
            <w:vAlign w:val="center"/>
          </w:tcPr>
          <w:p>
            <w:pPr>
              <w:adjustRightInd w:val="0"/>
              <w:snapToGrid w:val="0"/>
              <w:spacing w:line="240" w:lineRule="auto"/>
              <w:jc w:val="center"/>
              <w:textAlignment w:val="center"/>
              <w:rPr>
                <w:rFonts w:cs="宋体"/>
                <w:bCs/>
                <w:sz w:val="15"/>
                <w:szCs w:val="21"/>
                <w:lang w:bidi="ar"/>
              </w:rPr>
            </w:pPr>
            <w:r>
              <w:rPr>
                <w:rFonts w:cs="宋体"/>
                <w:bCs/>
                <w:sz w:val="15"/>
                <w:szCs w:val="21"/>
                <w:lang w:bidi="ar"/>
              </w:rPr>
              <w:t>碳排放量</w:t>
            </w:r>
          </w:p>
          <w:p>
            <w:pPr>
              <w:adjustRightInd w:val="0"/>
              <w:snapToGrid w:val="0"/>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w:t>
            </w:r>
          </w:p>
        </w:tc>
        <w:tc>
          <w:tcPr>
            <w:tcW w:w="920" w:type="pct"/>
            <w:gridSpan w:val="2"/>
            <w:noWrap w:val="0"/>
            <w:vAlign w:val="center"/>
          </w:tcPr>
          <w:p>
            <w:pPr>
              <w:adjustRightInd w:val="0"/>
              <w:snapToGrid w:val="0"/>
              <w:spacing w:line="240" w:lineRule="auto"/>
              <w:jc w:val="center"/>
              <w:textAlignment w:val="center"/>
              <w:rPr>
                <w:bCs/>
                <w:sz w:val="15"/>
                <w:szCs w:val="21"/>
              </w:rPr>
            </w:pPr>
            <w:r>
              <w:rPr>
                <w:rFonts w:cs="宋体"/>
                <w:bCs/>
                <w:sz w:val="15"/>
                <w:szCs w:val="21"/>
                <w:lang w:bidi="ar"/>
              </w:rPr>
              <w:t>优化建议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continue"/>
            <w:noWrap/>
            <w:vAlign w:val="center"/>
          </w:tcPr>
          <w:p>
            <w:pPr>
              <w:adjustRightInd w:val="0"/>
              <w:snapToGrid w:val="0"/>
              <w:spacing w:line="240" w:lineRule="auto"/>
              <w:jc w:val="center"/>
              <w:rPr>
                <w:sz w:val="15"/>
                <w:szCs w:val="21"/>
              </w:rPr>
            </w:pPr>
          </w:p>
        </w:tc>
        <w:tc>
          <w:tcPr>
            <w:tcW w:w="1045" w:type="pct"/>
            <w:gridSpan w:val="2"/>
            <w:noWrap/>
            <w:vAlign w:val="center"/>
          </w:tcPr>
          <w:p>
            <w:pPr>
              <w:adjustRightInd w:val="0"/>
              <w:snapToGrid w:val="0"/>
              <w:spacing w:line="240" w:lineRule="auto"/>
              <w:jc w:val="center"/>
              <w:textAlignment w:val="center"/>
              <w:rPr>
                <w:sz w:val="15"/>
                <w:szCs w:val="21"/>
              </w:rPr>
            </w:pPr>
          </w:p>
        </w:tc>
        <w:tc>
          <w:tcPr>
            <w:tcW w:w="896" w:type="pct"/>
            <w:gridSpan w:val="2"/>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2"/>
            <w:noWrap/>
            <w:vAlign w:val="center"/>
          </w:tcPr>
          <w:p>
            <w:pPr>
              <w:adjustRightInd w:val="0"/>
              <w:snapToGrid w:val="0"/>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continue"/>
            <w:noWrap/>
            <w:vAlign w:val="center"/>
          </w:tcPr>
          <w:p>
            <w:pPr>
              <w:adjustRightInd w:val="0"/>
              <w:snapToGrid w:val="0"/>
              <w:spacing w:line="240" w:lineRule="auto"/>
              <w:jc w:val="center"/>
              <w:rPr>
                <w:sz w:val="15"/>
                <w:szCs w:val="21"/>
              </w:rPr>
            </w:pPr>
          </w:p>
        </w:tc>
        <w:tc>
          <w:tcPr>
            <w:tcW w:w="1045" w:type="pct"/>
            <w:gridSpan w:val="2"/>
            <w:noWrap/>
            <w:vAlign w:val="center"/>
          </w:tcPr>
          <w:p>
            <w:pPr>
              <w:adjustRightInd w:val="0"/>
              <w:snapToGrid w:val="0"/>
              <w:spacing w:line="240" w:lineRule="auto"/>
              <w:jc w:val="center"/>
              <w:textAlignment w:val="center"/>
              <w:rPr>
                <w:sz w:val="15"/>
                <w:szCs w:val="21"/>
              </w:rPr>
            </w:pPr>
          </w:p>
        </w:tc>
        <w:tc>
          <w:tcPr>
            <w:tcW w:w="896" w:type="pct"/>
            <w:gridSpan w:val="2"/>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3"/>
            <w:noWrap/>
            <w:vAlign w:val="center"/>
          </w:tcPr>
          <w:p>
            <w:pPr>
              <w:adjustRightInd w:val="0"/>
              <w:snapToGrid w:val="0"/>
              <w:spacing w:line="240" w:lineRule="auto"/>
              <w:jc w:val="center"/>
              <w:textAlignment w:val="center"/>
              <w:rPr>
                <w:sz w:val="15"/>
                <w:szCs w:val="21"/>
              </w:rPr>
            </w:pPr>
          </w:p>
        </w:tc>
        <w:tc>
          <w:tcPr>
            <w:tcW w:w="920" w:type="pct"/>
            <w:gridSpan w:val="2"/>
            <w:noWrap/>
            <w:vAlign w:val="center"/>
          </w:tcPr>
          <w:p>
            <w:pPr>
              <w:adjustRightInd w:val="0"/>
              <w:snapToGrid w:val="0"/>
              <w:spacing w:line="240" w:lineRule="auto"/>
              <w:jc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299" w:type="pct"/>
            <w:vMerge w:val="continue"/>
            <w:noWrap/>
            <w:vAlign w:val="center"/>
          </w:tcPr>
          <w:p>
            <w:pPr>
              <w:adjustRightInd w:val="0"/>
              <w:snapToGrid w:val="0"/>
              <w:spacing w:line="240" w:lineRule="auto"/>
              <w:jc w:val="center"/>
              <w:rPr>
                <w:sz w:val="15"/>
                <w:szCs w:val="21"/>
              </w:rPr>
            </w:pPr>
          </w:p>
        </w:tc>
        <w:tc>
          <w:tcPr>
            <w:tcW w:w="1045" w:type="pct"/>
            <w:gridSpan w:val="2"/>
            <w:noWrap/>
            <w:vAlign w:val="center"/>
          </w:tcPr>
          <w:p>
            <w:pPr>
              <w:adjustRightInd w:val="0"/>
              <w:snapToGrid w:val="0"/>
              <w:spacing w:line="240" w:lineRule="auto"/>
              <w:jc w:val="center"/>
              <w:textAlignment w:val="center"/>
              <w:rPr>
                <w:sz w:val="15"/>
                <w:szCs w:val="21"/>
              </w:rPr>
            </w:pPr>
            <w:r>
              <w:rPr>
                <w:rFonts w:cs="宋体"/>
                <w:sz w:val="15"/>
                <w:szCs w:val="21"/>
                <w:lang w:bidi="ar"/>
              </w:rPr>
              <w:t>小计</w:t>
            </w:r>
          </w:p>
        </w:tc>
        <w:tc>
          <w:tcPr>
            <w:tcW w:w="3656" w:type="pct"/>
            <w:gridSpan w:val="10"/>
            <w:noWrap/>
            <w:vAlign w:val="center"/>
          </w:tcPr>
          <w:p>
            <w:pPr>
              <w:adjustRightInd w:val="0"/>
              <w:snapToGrid w:val="0"/>
              <w:spacing w:line="240" w:lineRule="auto"/>
              <w:jc w:val="center"/>
              <w:rPr>
                <w:bCs/>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restart"/>
            <w:noWrap/>
            <w:textDirection w:val="tbLrV"/>
            <w:vAlign w:val="center"/>
          </w:tcPr>
          <w:p>
            <w:pPr>
              <w:spacing w:line="240" w:lineRule="auto"/>
              <w:ind w:left="113" w:right="113"/>
              <w:jc w:val="center"/>
              <w:textAlignment w:val="center"/>
              <w:rPr>
                <w:rFonts w:cs="宋体"/>
                <w:bCs/>
                <w:spacing w:val="113"/>
                <w:sz w:val="15"/>
                <w:szCs w:val="21"/>
                <w:lang w:bidi="ar"/>
              </w:rPr>
            </w:pPr>
            <w:r>
              <w:rPr>
                <w:rFonts w:hint="eastAsia" w:cs="宋体"/>
                <w:bCs/>
                <w:spacing w:val="113"/>
                <w:sz w:val="15"/>
                <w:szCs w:val="21"/>
                <w:lang w:bidi="ar"/>
              </w:rPr>
              <w:t>机械设备</w:t>
            </w:r>
          </w:p>
        </w:tc>
        <w:tc>
          <w:tcPr>
            <w:tcW w:w="522" w:type="pct"/>
            <w:noWrap/>
            <w:vAlign w:val="center"/>
          </w:tcPr>
          <w:p>
            <w:pPr>
              <w:spacing w:line="240" w:lineRule="auto"/>
              <w:jc w:val="center"/>
              <w:textAlignment w:val="center"/>
              <w:rPr>
                <w:rFonts w:cs="宋体"/>
                <w:bCs/>
                <w:sz w:val="15"/>
                <w:szCs w:val="21"/>
              </w:rPr>
            </w:pPr>
            <w:r>
              <w:rPr>
                <w:rFonts w:hint="eastAsia" w:cs="宋体"/>
                <w:bCs/>
                <w:sz w:val="15"/>
                <w:szCs w:val="21"/>
                <w:lang w:bidi="ar"/>
              </w:rPr>
              <w:t>设备</w:t>
            </w:r>
          </w:p>
        </w:tc>
        <w:tc>
          <w:tcPr>
            <w:tcW w:w="523" w:type="pct"/>
            <w:noWrap/>
            <w:vAlign w:val="center"/>
          </w:tcPr>
          <w:p>
            <w:pPr>
              <w:spacing w:line="240" w:lineRule="auto"/>
              <w:jc w:val="center"/>
              <w:textAlignment w:val="center"/>
              <w:rPr>
                <w:rFonts w:cs="宋体"/>
                <w:bCs/>
                <w:sz w:val="15"/>
                <w:szCs w:val="21"/>
              </w:rPr>
            </w:pPr>
            <w:r>
              <w:rPr>
                <w:rFonts w:hint="eastAsia" w:cs="宋体"/>
                <w:bCs/>
                <w:sz w:val="15"/>
                <w:szCs w:val="21"/>
                <w:lang w:bidi="ar"/>
              </w:rPr>
              <w:t>性能规格</w:t>
            </w:r>
          </w:p>
        </w:tc>
        <w:tc>
          <w:tcPr>
            <w:tcW w:w="523" w:type="pct"/>
            <w:noWrap/>
            <w:vAlign w:val="center"/>
          </w:tcPr>
          <w:p>
            <w:pPr>
              <w:spacing w:line="240" w:lineRule="auto"/>
              <w:jc w:val="center"/>
              <w:textAlignment w:val="center"/>
              <w:rPr>
                <w:rFonts w:cs="宋体"/>
                <w:bCs/>
                <w:sz w:val="15"/>
                <w:szCs w:val="21"/>
              </w:rPr>
            </w:pPr>
            <w:r>
              <w:rPr>
                <w:rFonts w:hint="eastAsia" w:cs="宋体"/>
                <w:bCs/>
                <w:sz w:val="15"/>
                <w:szCs w:val="21"/>
                <w:lang w:bidi="ar"/>
              </w:rPr>
              <w:t>能源类型</w:t>
            </w:r>
          </w:p>
        </w:tc>
        <w:tc>
          <w:tcPr>
            <w:tcW w:w="522" w:type="pct"/>
            <w:gridSpan w:val="2"/>
            <w:noWrap/>
            <w:vAlign w:val="center"/>
          </w:tcPr>
          <w:p>
            <w:pPr>
              <w:spacing w:line="240" w:lineRule="auto"/>
              <w:jc w:val="center"/>
              <w:textAlignment w:val="center"/>
              <w:rPr>
                <w:rFonts w:cs="宋体"/>
                <w:bCs/>
                <w:sz w:val="15"/>
                <w:szCs w:val="21"/>
                <w:lang w:bidi="ar"/>
              </w:rPr>
            </w:pPr>
            <w:r>
              <w:rPr>
                <w:rFonts w:hint="eastAsia" w:cs="宋体"/>
                <w:bCs/>
                <w:sz w:val="15"/>
                <w:szCs w:val="21"/>
                <w:lang w:bidi="ar"/>
              </w:rPr>
              <w:t>碳排放因子</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/t）</w:t>
            </w:r>
          </w:p>
        </w:tc>
        <w:tc>
          <w:tcPr>
            <w:tcW w:w="523"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台班数量</w:t>
            </w:r>
          </w:p>
          <w:p>
            <w:pPr>
              <w:spacing w:line="240" w:lineRule="auto"/>
              <w:jc w:val="center"/>
              <w:textAlignment w:val="center"/>
              <w:rPr>
                <w:rFonts w:cs="宋体"/>
                <w:bCs/>
                <w:sz w:val="15"/>
                <w:szCs w:val="21"/>
              </w:rPr>
            </w:pPr>
            <w:r>
              <w:rPr>
                <w:rFonts w:hint="eastAsia" w:cs="宋体"/>
                <w:bCs/>
                <w:sz w:val="15"/>
                <w:szCs w:val="21"/>
                <w:lang w:bidi="ar"/>
              </w:rPr>
              <w:t>（个）</w:t>
            </w:r>
          </w:p>
        </w:tc>
        <w:tc>
          <w:tcPr>
            <w:tcW w:w="523" w:type="pct"/>
            <w:gridSpan w:val="2"/>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耗能定额</w:t>
            </w:r>
          </w:p>
          <w:p>
            <w:pPr>
              <w:spacing w:line="240" w:lineRule="auto"/>
              <w:jc w:val="center"/>
              <w:textAlignment w:val="center"/>
              <w:rPr>
                <w:rFonts w:cs="宋体"/>
                <w:bCs/>
                <w:sz w:val="15"/>
                <w:szCs w:val="21"/>
              </w:rPr>
            </w:pPr>
            <w:r>
              <w:rPr>
                <w:rFonts w:hint="eastAsia" w:cs="宋体"/>
                <w:bCs/>
                <w:sz w:val="15"/>
                <w:szCs w:val="21"/>
                <w:lang w:bidi="ar"/>
              </w:rPr>
              <w:t>（t/台班或KWh）</w:t>
            </w:r>
          </w:p>
        </w:tc>
        <w:tc>
          <w:tcPr>
            <w:tcW w:w="522" w:type="pct"/>
            <w:noWrap w:val="0"/>
            <w:vAlign w:val="center"/>
          </w:tcPr>
          <w:p>
            <w:pPr>
              <w:spacing w:line="240" w:lineRule="auto"/>
              <w:jc w:val="center"/>
              <w:textAlignment w:val="center"/>
              <w:rPr>
                <w:rFonts w:cs="宋体"/>
                <w:bCs/>
                <w:sz w:val="15"/>
                <w:szCs w:val="21"/>
                <w:lang w:bidi="ar"/>
              </w:rPr>
            </w:pPr>
            <w:r>
              <w:rPr>
                <w:rFonts w:hint="eastAsia" w:cs="宋体"/>
                <w:bCs/>
                <w:sz w:val="15"/>
                <w:szCs w:val="21"/>
                <w:lang w:bidi="ar"/>
              </w:rPr>
              <w:t>碳排放量</w:t>
            </w:r>
          </w:p>
          <w:p>
            <w:pPr>
              <w:spacing w:line="240" w:lineRule="auto"/>
              <w:jc w:val="center"/>
              <w:textAlignment w:val="center"/>
              <w:rPr>
                <w:rFonts w:cs="宋体"/>
                <w:bCs/>
                <w:sz w:val="15"/>
                <w:szCs w:val="21"/>
              </w:rPr>
            </w:pPr>
            <w:r>
              <w:rPr>
                <w:rFonts w:hint="eastAsia" w:cs="宋体"/>
                <w:bCs/>
                <w:sz w:val="15"/>
                <w:szCs w:val="21"/>
                <w:lang w:bidi="ar"/>
              </w:rPr>
              <w:t>（tCO</w:t>
            </w:r>
            <w:r>
              <w:rPr>
                <w:rFonts w:hint="eastAsia" w:cs="宋体"/>
                <w:bCs/>
                <w:sz w:val="15"/>
                <w:szCs w:val="21"/>
                <w:vertAlign w:val="subscript"/>
                <w:lang w:bidi="ar"/>
              </w:rPr>
              <w:t>2e</w:t>
            </w:r>
            <w:r>
              <w:rPr>
                <w:rFonts w:hint="eastAsia" w:cs="宋体"/>
                <w:bCs/>
                <w:sz w:val="15"/>
                <w:szCs w:val="21"/>
                <w:lang w:bidi="ar"/>
              </w:rPr>
              <w:t>）</w:t>
            </w:r>
          </w:p>
        </w:tc>
        <w:tc>
          <w:tcPr>
            <w:tcW w:w="523" w:type="pct"/>
            <w:gridSpan w:val="2"/>
            <w:noWrap w:val="0"/>
            <w:vAlign w:val="center"/>
          </w:tcPr>
          <w:p>
            <w:pPr>
              <w:spacing w:line="240" w:lineRule="auto"/>
              <w:jc w:val="center"/>
              <w:textAlignment w:val="center"/>
              <w:rPr>
                <w:rFonts w:cs="宋体"/>
                <w:bCs/>
                <w:sz w:val="15"/>
                <w:szCs w:val="21"/>
              </w:rPr>
            </w:pPr>
            <w:r>
              <w:rPr>
                <w:rFonts w:hint="eastAsia" w:cs="宋体"/>
                <w:bCs/>
                <w:sz w:val="15"/>
                <w:szCs w:val="21"/>
                <w:lang w:bidi="ar"/>
              </w:rPr>
              <w:t>优化建议</w:t>
            </w:r>
          </w:p>
        </w:tc>
        <w:tc>
          <w:tcPr>
            <w:tcW w:w="520" w:type="pct"/>
            <w:noWrap w:val="0"/>
            <w:vAlign w:val="center"/>
          </w:tcPr>
          <w:p>
            <w:pPr>
              <w:spacing w:line="240" w:lineRule="auto"/>
              <w:jc w:val="center"/>
              <w:textAlignment w:val="center"/>
              <w:rPr>
                <w:rFonts w:cs="宋体"/>
                <w:bCs/>
                <w:sz w:val="15"/>
                <w:szCs w:val="21"/>
              </w:rPr>
            </w:pPr>
            <w:r>
              <w:rPr>
                <w:rFonts w:hint="eastAsia"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p>
        </w:tc>
        <w:tc>
          <w:tcPr>
            <w:tcW w:w="523" w:type="pct"/>
            <w:noWrap/>
            <w:vAlign w:val="center"/>
          </w:tcPr>
          <w:p>
            <w:pPr>
              <w:spacing w:line="240" w:lineRule="auto"/>
              <w:textAlignment w:val="center"/>
              <w:rPr>
                <w:rFonts w:cs="宋体"/>
                <w:sz w:val="15"/>
                <w:szCs w:val="21"/>
              </w:rPr>
            </w:pPr>
          </w:p>
        </w:tc>
        <w:tc>
          <w:tcPr>
            <w:tcW w:w="523" w:type="pct"/>
            <w:noWrap/>
            <w:vAlign w:val="center"/>
          </w:tcPr>
          <w:p>
            <w:pPr>
              <w:spacing w:line="240" w:lineRule="auto"/>
              <w:textAlignment w:val="center"/>
              <w:rPr>
                <w:rFonts w:cs="宋体"/>
                <w:sz w:val="15"/>
                <w:szCs w:val="21"/>
              </w:rPr>
            </w:pPr>
          </w:p>
        </w:tc>
        <w:tc>
          <w:tcPr>
            <w:tcW w:w="522" w:type="pct"/>
            <w:gridSpan w:val="2"/>
            <w:noWrap/>
            <w:vAlign w:val="center"/>
          </w:tcPr>
          <w:p>
            <w:pPr>
              <w:spacing w:line="240" w:lineRule="auto"/>
              <w:textAlignment w:val="center"/>
              <w:rPr>
                <w:rFonts w:cs="宋体"/>
                <w:sz w:val="15"/>
                <w:szCs w:val="21"/>
              </w:rPr>
            </w:pPr>
          </w:p>
        </w:tc>
        <w:tc>
          <w:tcPr>
            <w:tcW w:w="523" w:type="pct"/>
            <w:noWrap/>
            <w:vAlign w:val="center"/>
          </w:tcPr>
          <w:p>
            <w:pPr>
              <w:spacing w:line="240" w:lineRule="auto"/>
              <w:textAlignment w:val="center"/>
              <w:rPr>
                <w:rFonts w:cs="宋体"/>
                <w:sz w:val="15"/>
                <w:szCs w:val="21"/>
              </w:rPr>
            </w:pPr>
          </w:p>
        </w:tc>
        <w:tc>
          <w:tcPr>
            <w:tcW w:w="523" w:type="pct"/>
            <w:gridSpan w:val="2"/>
            <w:noWrap/>
            <w:vAlign w:val="center"/>
          </w:tcPr>
          <w:p>
            <w:pPr>
              <w:spacing w:line="240" w:lineRule="auto"/>
              <w:textAlignment w:val="center"/>
              <w:rPr>
                <w:rFonts w:cs="宋体"/>
                <w:sz w:val="15"/>
                <w:szCs w:val="21"/>
              </w:rPr>
            </w:pPr>
          </w:p>
        </w:tc>
        <w:tc>
          <w:tcPr>
            <w:tcW w:w="522" w:type="pct"/>
            <w:noWrap/>
            <w:vAlign w:val="center"/>
          </w:tcPr>
          <w:p>
            <w:pPr>
              <w:spacing w:line="240" w:lineRule="auto"/>
              <w:textAlignment w:val="center"/>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0"/>
            <w:vAlign w:val="center"/>
          </w:tcPr>
          <w:p>
            <w:pPr>
              <w:spacing w:line="240" w:lineRule="auto"/>
              <w:textAlignment w:val="center"/>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rPr>
                <w:rFonts w:cs="宋体"/>
                <w:sz w:val="15"/>
                <w:szCs w:val="21"/>
              </w:rPr>
            </w:pP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99" w:type="pct"/>
            <w:vMerge w:val="continue"/>
            <w:noWrap/>
            <w:vAlign w:val="center"/>
          </w:tcPr>
          <w:p>
            <w:pPr>
              <w:spacing w:line="240" w:lineRule="auto"/>
              <w:jc w:val="center"/>
              <w:rPr>
                <w:rFonts w:cs="宋体"/>
                <w:sz w:val="15"/>
                <w:szCs w:val="21"/>
              </w:rPr>
            </w:pPr>
          </w:p>
        </w:tc>
        <w:tc>
          <w:tcPr>
            <w:tcW w:w="522" w:type="pct"/>
            <w:noWrap/>
            <w:vAlign w:val="center"/>
          </w:tcPr>
          <w:p>
            <w:pPr>
              <w:spacing w:line="240" w:lineRule="auto"/>
              <w:jc w:val="center"/>
              <w:textAlignment w:val="center"/>
              <w:rPr>
                <w:rFonts w:cs="宋体"/>
                <w:sz w:val="15"/>
                <w:szCs w:val="21"/>
              </w:rPr>
            </w:pPr>
            <w:r>
              <w:rPr>
                <w:rFonts w:hint="eastAsia" w:cs="宋体"/>
                <w:sz w:val="15"/>
                <w:szCs w:val="21"/>
                <w:lang w:bidi="ar"/>
              </w:rPr>
              <w:t>小计</w:t>
            </w:r>
          </w:p>
        </w:tc>
        <w:tc>
          <w:tcPr>
            <w:tcW w:w="523" w:type="pct"/>
            <w:noWrap/>
            <w:vAlign w:val="center"/>
          </w:tcPr>
          <w:p>
            <w:pPr>
              <w:spacing w:line="240" w:lineRule="auto"/>
              <w:rPr>
                <w:rFonts w:cs="宋体"/>
                <w:sz w:val="15"/>
                <w:szCs w:val="21"/>
              </w:rPr>
            </w:pPr>
          </w:p>
        </w:tc>
        <w:tc>
          <w:tcPr>
            <w:tcW w:w="523" w:type="pct"/>
            <w:noWrap/>
            <w:vAlign w:val="center"/>
          </w:tcPr>
          <w:p>
            <w:pPr>
              <w:spacing w:line="240" w:lineRule="auto"/>
              <w:rPr>
                <w:rFonts w:cs="宋体"/>
                <w:sz w:val="15"/>
                <w:szCs w:val="21"/>
              </w:rPr>
            </w:pPr>
          </w:p>
        </w:tc>
        <w:tc>
          <w:tcPr>
            <w:tcW w:w="522" w:type="pct"/>
            <w:gridSpan w:val="2"/>
            <w:noWrap/>
            <w:vAlign w:val="center"/>
          </w:tcPr>
          <w:p>
            <w:pPr>
              <w:spacing w:line="240" w:lineRule="auto"/>
              <w:rPr>
                <w:rFonts w:cs="宋体"/>
                <w:sz w:val="15"/>
                <w:szCs w:val="21"/>
              </w:rPr>
            </w:pPr>
          </w:p>
        </w:tc>
        <w:tc>
          <w:tcPr>
            <w:tcW w:w="523" w:type="pct"/>
            <w:noWrap/>
            <w:vAlign w:val="center"/>
          </w:tcPr>
          <w:p>
            <w:pPr>
              <w:spacing w:line="240" w:lineRule="auto"/>
              <w:rPr>
                <w:rFonts w:cs="宋体"/>
                <w:bCs/>
                <w:sz w:val="15"/>
                <w:szCs w:val="21"/>
              </w:rPr>
            </w:pPr>
          </w:p>
        </w:tc>
        <w:tc>
          <w:tcPr>
            <w:tcW w:w="523" w:type="pct"/>
            <w:gridSpan w:val="2"/>
            <w:noWrap/>
            <w:vAlign w:val="center"/>
          </w:tcPr>
          <w:p>
            <w:pPr>
              <w:spacing w:line="240" w:lineRule="auto"/>
              <w:rPr>
                <w:rFonts w:cs="宋体"/>
                <w:bCs/>
                <w:sz w:val="15"/>
                <w:szCs w:val="21"/>
              </w:rPr>
            </w:pPr>
          </w:p>
        </w:tc>
        <w:tc>
          <w:tcPr>
            <w:tcW w:w="522" w:type="pct"/>
            <w:noWrap/>
            <w:vAlign w:val="center"/>
          </w:tcPr>
          <w:p>
            <w:pPr>
              <w:spacing w:line="240" w:lineRule="auto"/>
              <w:rPr>
                <w:rFonts w:cs="宋体"/>
                <w:sz w:val="15"/>
                <w:szCs w:val="21"/>
              </w:rPr>
            </w:pPr>
          </w:p>
        </w:tc>
        <w:tc>
          <w:tcPr>
            <w:tcW w:w="523" w:type="pct"/>
            <w:gridSpan w:val="2"/>
            <w:noWrap/>
            <w:vAlign w:val="center"/>
          </w:tcPr>
          <w:p>
            <w:pPr>
              <w:spacing w:line="240" w:lineRule="auto"/>
              <w:rPr>
                <w:rFonts w:cs="宋体"/>
                <w:sz w:val="15"/>
                <w:szCs w:val="21"/>
              </w:rPr>
            </w:pPr>
          </w:p>
        </w:tc>
        <w:tc>
          <w:tcPr>
            <w:tcW w:w="520" w:type="pct"/>
            <w:noWrap/>
            <w:vAlign w:val="center"/>
          </w:tcPr>
          <w:p>
            <w:pPr>
              <w:spacing w:line="240" w:lineRule="auto"/>
              <w:rPr>
                <w:rFonts w:cs="宋体"/>
                <w:sz w:val="15"/>
                <w:szCs w:val="21"/>
              </w:rPr>
            </w:pPr>
          </w:p>
        </w:tc>
      </w:tr>
    </w:tbl>
    <w:p>
      <w:pPr>
        <w:spacing w:line="240" w:lineRule="auto"/>
        <w:rPr>
          <w:szCs w:val="21"/>
        </w:rPr>
      </w:pPr>
      <w:r>
        <w:rPr>
          <w:rFonts w:hint="eastAsia"/>
          <w:b/>
          <w:bCs/>
          <w:szCs w:val="21"/>
        </w:rPr>
        <w:t>A</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碳汇计算表单</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322"/>
        <w:gridCol w:w="2031"/>
        <w:gridCol w:w="1157"/>
        <w:gridCol w:w="1293"/>
        <w:gridCol w:w="1190"/>
        <w:gridCol w:w="2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bCs/>
                <w:sz w:val="15"/>
                <w:szCs w:val="21"/>
              </w:rPr>
            </w:pPr>
            <w:r>
              <w:rPr>
                <w:rFonts w:cs="宋体"/>
                <w:bCs/>
                <w:sz w:val="15"/>
                <w:szCs w:val="21"/>
                <w:lang w:bidi="ar"/>
              </w:rPr>
              <w:t>植被类型</w:t>
            </w:r>
          </w:p>
        </w:tc>
        <w:tc>
          <w:tcPr>
            <w:tcW w:w="109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单位面积年固碳量</w:t>
            </w:r>
          </w:p>
          <w:p>
            <w:pPr>
              <w:spacing w:line="240" w:lineRule="auto"/>
              <w:jc w:val="center"/>
              <w:textAlignment w:val="center"/>
              <w:rPr>
                <w:bCs/>
                <w:sz w:val="15"/>
                <w:szCs w:val="21"/>
              </w:rPr>
            </w:pPr>
            <w:r>
              <w:rPr>
                <w:rFonts w:cs="宋体"/>
                <w:bCs/>
                <w:sz w:val="15"/>
                <w:szCs w:val="21"/>
                <w:lang w:bidi="ar"/>
              </w:rPr>
              <w:t>（tCO</w:t>
            </w:r>
            <w:r>
              <w:rPr>
                <w:rFonts w:cs="宋体"/>
                <w:bCs/>
                <w:sz w:val="15"/>
                <w:szCs w:val="21"/>
                <w:vertAlign w:val="subscript"/>
                <w:lang w:bidi="ar"/>
              </w:rPr>
              <w:t>2</w:t>
            </w:r>
            <w:r>
              <w:rPr>
                <w:rFonts w:hint="eastAsia" w:cs="宋体"/>
                <w:bCs/>
                <w:sz w:val="15"/>
                <w:szCs w:val="21"/>
                <w:vertAlign w:val="subscript"/>
                <w:lang w:bidi="ar"/>
              </w:rPr>
              <w:t>e</w:t>
            </w:r>
            <w:r>
              <w:rPr>
                <w:rFonts w:cs="宋体"/>
                <w:bCs/>
                <w:sz w:val="15"/>
                <w:szCs w:val="21"/>
                <w:lang w:bidi="ar"/>
              </w:rPr>
              <w:t>/m</w:t>
            </w:r>
            <w:r>
              <w:rPr>
                <w:rFonts w:hint="eastAsia" w:cs="宋体"/>
                <w:bCs/>
                <w:sz w:val="15"/>
                <w:szCs w:val="21"/>
                <w:vertAlign w:val="superscript"/>
                <w:lang w:bidi="ar"/>
              </w:rPr>
              <w:t>2</w:t>
            </w:r>
            <w:r>
              <w:rPr>
                <w:rFonts w:cs="宋体"/>
                <w:bCs/>
                <w:sz w:val="15"/>
                <w:szCs w:val="21"/>
                <w:lang w:bidi="ar"/>
              </w:rPr>
              <w:t>）</w:t>
            </w:r>
          </w:p>
        </w:tc>
        <w:tc>
          <w:tcPr>
            <w:tcW w:w="622"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面积</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m</w:t>
            </w:r>
            <w:r>
              <w:rPr>
                <w:rFonts w:hint="eastAsia" w:cs="宋体"/>
                <w:bCs/>
                <w:sz w:val="15"/>
                <w:szCs w:val="21"/>
                <w:vertAlign w:val="superscript"/>
                <w:lang w:bidi="ar"/>
              </w:rPr>
              <w:t>2</w:t>
            </w:r>
            <w:r>
              <w:rPr>
                <w:rFonts w:cs="宋体"/>
                <w:bCs/>
                <w:sz w:val="15"/>
                <w:szCs w:val="21"/>
                <w:lang w:bidi="ar"/>
              </w:rPr>
              <w:t>）</w:t>
            </w:r>
          </w:p>
        </w:tc>
        <w:tc>
          <w:tcPr>
            <w:tcW w:w="695" w:type="pct"/>
            <w:noWrap w:val="0"/>
            <w:vAlign w:val="center"/>
          </w:tcPr>
          <w:p>
            <w:pPr>
              <w:spacing w:line="240" w:lineRule="auto"/>
              <w:jc w:val="center"/>
              <w:textAlignment w:val="center"/>
              <w:rPr>
                <w:rFonts w:cs="宋体"/>
                <w:bCs/>
                <w:sz w:val="15"/>
                <w:szCs w:val="21"/>
                <w:lang w:bidi="ar"/>
              </w:rPr>
            </w:pPr>
            <w:r>
              <w:rPr>
                <w:rFonts w:cs="宋体"/>
                <w:bCs/>
                <w:sz w:val="15"/>
                <w:szCs w:val="21"/>
                <w:lang w:bidi="ar"/>
              </w:rPr>
              <w:t>汇碳量</w:t>
            </w:r>
          </w:p>
          <w:p>
            <w:pPr>
              <w:spacing w:line="240" w:lineRule="auto"/>
              <w:jc w:val="center"/>
              <w:textAlignment w:val="center"/>
              <w:rPr>
                <w:bCs/>
                <w:sz w:val="15"/>
                <w:szCs w:val="21"/>
              </w:rPr>
            </w:pPr>
            <w:r>
              <w:rPr>
                <w:rFonts w:cs="宋体"/>
                <w:bCs/>
                <w:sz w:val="15"/>
                <w:szCs w:val="21"/>
                <w:lang w:bidi="ar"/>
              </w:rPr>
              <w:t>（</w:t>
            </w:r>
            <w:r>
              <w:rPr>
                <w:rFonts w:hint="eastAsia" w:cs="宋体"/>
                <w:bCs/>
                <w:sz w:val="15"/>
                <w:szCs w:val="21"/>
                <w:lang w:bidi="ar"/>
              </w:rPr>
              <w:t>tCO</w:t>
            </w:r>
            <w:r>
              <w:rPr>
                <w:rFonts w:hint="eastAsia" w:cs="宋体"/>
                <w:bCs/>
                <w:sz w:val="15"/>
                <w:szCs w:val="21"/>
                <w:vertAlign w:val="subscript"/>
                <w:lang w:bidi="ar"/>
              </w:rPr>
              <w:t>2e</w:t>
            </w:r>
            <w:r>
              <w:rPr>
                <w:rFonts w:cs="宋体"/>
                <w:bCs/>
                <w:sz w:val="15"/>
                <w:szCs w:val="21"/>
                <w:lang w:bidi="ar"/>
              </w:rPr>
              <w:t>）</w:t>
            </w:r>
          </w:p>
        </w:tc>
        <w:tc>
          <w:tcPr>
            <w:tcW w:w="640" w:type="pct"/>
            <w:noWrap w:val="0"/>
            <w:vAlign w:val="center"/>
          </w:tcPr>
          <w:p>
            <w:pPr>
              <w:spacing w:line="240" w:lineRule="auto"/>
              <w:jc w:val="center"/>
              <w:textAlignment w:val="center"/>
              <w:rPr>
                <w:bCs/>
                <w:sz w:val="15"/>
                <w:szCs w:val="21"/>
              </w:rPr>
            </w:pPr>
            <w:r>
              <w:rPr>
                <w:rFonts w:cs="宋体"/>
                <w:bCs/>
                <w:sz w:val="15"/>
                <w:szCs w:val="21"/>
                <w:lang w:bidi="ar"/>
              </w:rPr>
              <w:t>优化建议</w:t>
            </w:r>
          </w:p>
        </w:tc>
        <w:tc>
          <w:tcPr>
            <w:tcW w:w="1237" w:type="pct"/>
            <w:noWrap w:val="0"/>
            <w:vAlign w:val="center"/>
          </w:tcPr>
          <w:p>
            <w:pPr>
              <w:spacing w:line="240" w:lineRule="auto"/>
              <w:jc w:val="center"/>
              <w:textAlignment w:val="center"/>
              <w:rPr>
                <w:bCs/>
                <w:sz w:val="15"/>
                <w:szCs w:val="21"/>
              </w:rPr>
            </w:pPr>
            <w:r>
              <w:rPr>
                <w:rFonts w:cs="宋体"/>
                <w:bCs/>
                <w:sz w:val="15"/>
                <w:szCs w:val="21"/>
                <w:lang w:bidi="ar"/>
              </w:rPr>
              <w:t>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sz w:val="15"/>
                <w:szCs w:val="21"/>
              </w:rPr>
            </w:pPr>
          </w:p>
        </w:tc>
        <w:tc>
          <w:tcPr>
            <w:tcW w:w="622" w:type="pct"/>
            <w:noWrap/>
            <w:vAlign w:val="center"/>
          </w:tcPr>
          <w:p>
            <w:pPr>
              <w:spacing w:line="240" w:lineRule="auto"/>
              <w:jc w:val="center"/>
              <w:rPr>
                <w:sz w:val="15"/>
                <w:szCs w:val="21"/>
              </w:rPr>
            </w:pPr>
          </w:p>
        </w:tc>
        <w:tc>
          <w:tcPr>
            <w:tcW w:w="695" w:type="pct"/>
            <w:noWrap/>
            <w:vAlign w:val="center"/>
          </w:tcPr>
          <w:p>
            <w:pPr>
              <w:spacing w:line="240" w:lineRule="auto"/>
              <w:jc w:val="center"/>
              <w:rPr>
                <w:sz w:val="15"/>
                <w:szCs w:val="21"/>
              </w:rPr>
            </w:pPr>
          </w:p>
        </w:tc>
        <w:tc>
          <w:tcPr>
            <w:tcW w:w="640" w:type="pct"/>
            <w:noWrap/>
            <w:vAlign w:val="center"/>
          </w:tcPr>
          <w:p>
            <w:pPr>
              <w:spacing w:line="240" w:lineRule="auto"/>
              <w:jc w:val="center"/>
              <w:rPr>
                <w:sz w:val="15"/>
                <w:szCs w:val="21"/>
              </w:rPr>
            </w:pPr>
          </w:p>
        </w:tc>
        <w:tc>
          <w:tcPr>
            <w:tcW w:w="1237" w:type="pct"/>
            <w:vMerge w:val="restart"/>
            <w:noWrap/>
            <w:vAlign w:val="center"/>
          </w:tcPr>
          <w:p>
            <w:pPr>
              <w:spacing w:line="240" w:lineRule="auto"/>
              <w:jc w:val="center"/>
              <w:textAlignment w:val="center"/>
              <w:rPr>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11" w:type="pct"/>
            <w:noWrap/>
            <w:vAlign w:val="center"/>
          </w:tcPr>
          <w:p>
            <w:pPr>
              <w:spacing w:line="240" w:lineRule="auto"/>
              <w:jc w:val="center"/>
              <w:textAlignment w:val="center"/>
              <w:rPr>
                <w:sz w:val="15"/>
                <w:szCs w:val="21"/>
              </w:rPr>
            </w:pPr>
          </w:p>
        </w:tc>
        <w:tc>
          <w:tcPr>
            <w:tcW w:w="1092" w:type="pct"/>
            <w:noWrap/>
            <w:vAlign w:val="center"/>
          </w:tcPr>
          <w:p>
            <w:pPr>
              <w:spacing w:line="240" w:lineRule="auto"/>
              <w:jc w:val="center"/>
              <w:rPr>
                <w:rFonts w:ascii="宋体"/>
                <w:sz w:val="15"/>
                <w:szCs w:val="21"/>
              </w:rPr>
            </w:pPr>
          </w:p>
        </w:tc>
        <w:tc>
          <w:tcPr>
            <w:tcW w:w="622" w:type="pct"/>
            <w:noWrap/>
            <w:vAlign w:val="center"/>
          </w:tcPr>
          <w:p>
            <w:pPr>
              <w:spacing w:line="240" w:lineRule="auto"/>
              <w:jc w:val="center"/>
              <w:rPr>
                <w:rFonts w:ascii="宋体"/>
                <w:sz w:val="15"/>
                <w:szCs w:val="21"/>
              </w:rPr>
            </w:pPr>
          </w:p>
        </w:tc>
        <w:tc>
          <w:tcPr>
            <w:tcW w:w="695" w:type="pct"/>
            <w:noWrap/>
            <w:vAlign w:val="center"/>
          </w:tcPr>
          <w:p>
            <w:pPr>
              <w:spacing w:line="240" w:lineRule="auto"/>
              <w:jc w:val="center"/>
              <w:rPr>
                <w:rFonts w:ascii="宋体"/>
                <w:sz w:val="15"/>
                <w:szCs w:val="21"/>
              </w:rPr>
            </w:pPr>
          </w:p>
        </w:tc>
        <w:tc>
          <w:tcPr>
            <w:tcW w:w="640" w:type="pct"/>
            <w:noWrap/>
            <w:vAlign w:val="center"/>
          </w:tcPr>
          <w:p>
            <w:pPr>
              <w:spacing w:line="240" w:lineRule="auto"/>
              <w:jc w:val="center"/>
              <w:rPr>
                <w:rFonts w:ascii="宋体"/>
                <w:sz w:val="15"/>
                <w:szCs w:val="21"/>
              </w:rPr>
            </w:pPr>
          </w:p>
        </w:tc>
        <w:tc>
          <w:tcPr>
            <w:tcW w:w="1237" w:type="pct"/>
            <w:vMerge w:val="continue"/>
            <w:noWrap/>
            <w:vAlign w:val="center"/>
          </w:tcPr>
          <w:p>
            <w:pPr>
              <w:spacing w:line="240" w:lineRule="auto"/>
              <w:jc w:val="center"/>
              <w:rPr>
                <w:rFonts w:ascii="宋体"/>
                <w:sz w:val="15"/>
                <w:szCs w:val="21"/>
              </w:rPr>
            </w:pPr>
          </w:p>
        </w:tc>
      </w:tr>
    </w:tbl>
    <w:p>
      <w:pPr>
        <w:keepNext/>
        <w:keepLines/>
        <w:spacing w:before="360" w:after="360" w:line="240" w:lineRule="auto"/>
        <w:jc w:val="center"/>
        <w:outlineLvl w:val="0"/>
        <w:rPr>
          <w:rStyle w:val="19"/>
          <w:rFonts w:ascii="宋体" w:hAnsi="宋体" w:eastAsia="宋体"/>
          <w:b w:val="0"/>
          <w:bCs w:val="0"/>
          <w:sz w:val="28"/>
          <w:szCs w:val="28"/>
        </w:rPr>
      </w:pPr>
      <w:bookmarkStart w:id="347" w:name="_Toc161134685"/>
      <w:bookmarkStart w:id="348" w:name="_Toc160031003"/>
      <w:bookmarkStart w:id="349" w:name="_Toc160032828"/>
      <w:bookmarkStart w:id="350" w:name="_Toc160030741"/>
      <w:r>
        <w:rPr>
          <w:rStyle w:val="19"/>
          <w:rFonts w:hint="eastAsia" w:ascii="宋体" w:hAnsi="宋体" w:eastAsia="宋体"/>
          <w:b w:val="0"/>
          <w:bCs w:val="0"/>
          <w:sz w:val="28"/>
          <w:szCs w:val="28"/>
        </w:rPr>
        <w:t>附录</w:t>
      </w:r>
      <w:r>
        <w:rPr>
          <w:rStyle w:val="19"/>
          <w:rFonts w:hint="eastAsia" w:ascii="Times New Roman" w:hAnsi="Times New Roman" w:cs="Times New Roman"/>
          <w:sz w:val="28"/>
          <w:szCs w:val="28"/>
        </w:rPr>
        <w:t>B</w:t>
      </w:r>
      <w:r>
        <w:rPr>
          <w:rStyle w:val="19"/>
          <w:rFonts w:hint="eastAsia" w:ascii="宋体" w:hAnsi="宋体"/>
          <w:sz w:val="28"/>
          <w:szCs w:val="28"/>
        </w:rPr>
        <w:t xml:space="preserve">  </w:t>
      </w:r>
      <w:r>
        <w:rPr>
          <w:rStyle w:val="19"/>
          <w:rFonts w:hint="eastAsia" w:ascii="宋体" w:hAnsi="宋体" w:eastAsia="宋体"/>
          <w:b w:val="0"/>
          <w:bCs w:val="0"/>
          <w:sz w:val="28"/>
          <w:szCs w:val="28"/>
        </w:rPr>
        <w:t>碳排放因子</w:t>
      </w:r>
      <w:bookmarkEnd w:id="347"/>
      <w:bookmarkEnd w:id="348"/>
      <w:bookmarkEnd w:id="349"/>
      <w:bookmarkEnd w:id="350"/>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化石燃料碳排放因子表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57"/>
        <w:gridCol w:w="1294"/>
        <w:gridCol w:w="1133"/>
        <w:gridCol w:w="837"/>
        <w:gridCol w:w="1047"/>
        <w:gridCol w:w="1047"/>
        <w:gridCol w:w="1047"/>
        <w:gridCol w:w="1080"/>
        <w:gridCol w:w="1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燃料名称</w:t>
            </w:r>
          </w:p>
        </w:tc>
        <w:tc>
          <w:tcPr>
            <w:tcW w:w="611" w:type="pct"/>
            <w:vMerge w:val="restart"/>
            <w:noWrap/>
            <w:vAlign w:val="center"/>
          </w:tcPr>
          <w:p>
            <w:pPr>
              <w:spacing w:line="240" w:lineRule="auto"/>
              <w:jc w:val="center"/>
              <w:textAlignment w:val="bottom"/>
              <w:rPr>
                <w:rFonts w:cs="等线"/>
                <w:bCs/>
                <w:sz w:val="15"/>
                <w:szCs w:val="21"/>
              </w:rPr>
            </w:pPr>
            <w:r>
              <w:rPr>
                <w:rFonts w:cs="等线"/>
                <w:bCs/>
                <w:sz w:val="15"/>
                <w:szCs w:val="21"/>
              </w:rPr>
              <w:t>单位热值含碳量</w:t>
            </w:r>
          </w:p>
          <w:p>
            <w:pPr>
              <w:spacing w:line="240" w:lineRule="auto"/>
              <w:jc w:val="center"/>
              <w:textAlignment w:val="bottom"/>
              <w:rPr>
                <w:rFonts w:cs="等线"/>
                <w:bCs/>
                <w:sz w:val="15"/>
                <w:szCs w:val="21"/>
              </w:rPr>
            </w:pPr>
            <w:r>
              <w:rPr>
                <w:rFonts w:cs="等线"/>
                <w:bCs/>
                <w:sz w:val="15"/>
                <w:szCs w:val="21"/>
                <w:vertAlign w:val="superscript"/>
              </w:rPr>
              <w:t>a</w:t>
            </w:r>
            <w:r>
              <w:rPr>
                <w:rFonts w:cs="等线"/>
                <w:bCs/>
                <w:sz w:val="15"/>
                <w:szCs w:val="21"/>
              </w:rPr>
              <w:t>（</w:t>
            </w:r>
            <w:r>
              <w:rPr>
                <w:rFonts w:hint="eastAsia" w:cs="等线"/>
                <w:bCs/>
                <w:sz w:val="15"/>
                <w:szCs w:val="21"/>
              </w:rPr>
              <w:t>tC/TJ</w:t>
            </w:r>
            <w:r>
              <w:rPr>
                <w:rFonts w:cs="等线"/>
                <w:bCs/>
                <w:sz w:val="15"/>
                <w:szCs w:val="21"/>
              </w:rPr>
              <w:t>）</w:t>
            </w:r>
          </w:p>
        </w:tc>
        <w:tc>
          <w:tcPr>
            <w:tcW w:w="452" w:type="pct"/>
            <w:vMerge w:val="restar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碳氧化率</w:t>
            </w:r>
            <w:r>
              <w:rPr>
                <w:rFonts w:hint="eastAsia" w:cs="等线"/>
                <w:bCs/>
                <w:sz w:val="15"/>
                <w:szCs w:val="21"/>
                <w:vertAlign w:val="superscript"/>
                <w:lang w:bidi="ar"/>
              </w:rPr>
              <w:t>b</w:t>
            </w:r>
          </w:p>
          <w:p>
            <w:pPr>
              <w:spacing w:line="240" w:lineRule="auto"/>
              <w:jc w:val="center"/>
              <w:textAlignment w:val="bottom"/>
              <w:rPr>
                <w:rFonts w:cs="等线"/>
                <w:bCs/>
                <w:sz w:val="15"/>
                <w:szCs w:val="21"/>
                <w:lang w:bidi="ar"/>
              </w:rPr>
            </w:pPr>
            <w:r>
              <w:rPr>
                <w:rFonts w:hint="eastAsia" w:cs="等线"/>
                <w:bCs/>
                <w:sz w:val="15"/>
                <w:szCs w:val="21"/>
                <w:lang w:bidi="ar"/>
              </w:rPr>
              <w:t>（%）</w:t>
            </w:r>
          </w:p>
        </w:tc>
        <w:tc>
          <w:tcPr>
            <w:tcW w:w="1130" w:type="pct"/>
            <w:gridSpan w:val="2"/>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热值</w:t>
            </w:r>
            <w:r>
              <w:rPr>
                <w:rFonts w:hint="eastAsia" w:cs="等线"/>
                <w:bCs/>
                <w:sz w:val="15"/>
                <w:szCs w:val="21"/>
                <w:vertAlign w:val="superscript"/>
                <w:lang w:bidi="ar"/>
              </w:rPr>
              <w:t>c</w:t>
            </w:r>
          </w:p>
        </w:tc>
        <w:tc>
          <w:tcPr>
            <w:tcW w:w="1132" w:type="pct"/>
            <w:gridSpan w:val="2"/>
            <w:noWrap/>
            <w:vAlign w:val="center"/>
          </w:tcPr>
          <w:p>
            <w:pPr>
              <w:spacing w:line="240" w:lineRule="auto"/>
              <w:jc w:val="center"/>
              <w:textAlignment w:val="bottom"/>
              <w:rPr>
                <w:rFonts w:cs="等线"/>
                <w:bCs/>
                <w:sz w:val="15"/>
                <w:szCs w:val="21"/>
              </w:rPr>
            </w:pPr>
            <w:r>
              <w:rPr>
                <w:rFonts w:cs="等线"/>
                <w:bCs/>
                <w:sz w:val="15"/>
                <w:szCs w:val="21"/>
              </w:rPr>
              <w:t>排放因子</w:t>
            </w:r>
            <w:r>
              <w:rPr>
                <w:rFonts w:cs="等线"/>
                <w:bCs/>
                <w:sz w:val="15"/>
                <w:szCs w:val="21"/>
                <w:vertAlign w:val="superscript"/>
              </w:rPr>
              <w:t>d</w:t>
            </w:r>
          </w:p>
        </w:tc>
        <w:tc>
          <w:tcPr>
            <w:tcW w:w="675" w:type="pct"/>
            <w:vMerge w:val="restart"/>
            <w:noWrap/>
            <w:vAlign w:val="center"/>
          </w:tcPr>
          <w:p>
            <w:pPr>
              <w:spacing w:line="240" w:lineRule="auto"/>
              <w:jc w:val="center"/>
              <w:textAlignment w:val="bottom"/>
              <w:rPr>
                <w:rFonts w:cs="等线"/>
                <w:bCs/>
                <w:sz w:val="15"/>
                <w:szCs w:val="21"/>
              </w:rPr>
            </w:pPr>
            <w:r>
              <w:rPr>
                <w:rFonts w:cs="等线"/>
                <w:bCs/>
                <w:sz w:val="15"/>
                <w:szCs w:val="21"/>
              </w:rPr>
              <w:t>密度</w:t>
            </w:r>
          </w:p>
          <w:p>
            <w:pPr>
              <w:spacing w:line="240" w:lineRule="auto"/>
              <w:jc w:val="center"/>
              <w:textAlignment w:val="bottom"/>
              <w:rPr>
                <w:rFonts w:cs="等线"/>
                <w:bCs/>
                <w:sz w:val="15"/>
                <w:szCs w:val="21"/>
              </w:rPr>
            </w:pPr>
            <w:r>
              <w:rPr>
                <w:rFonts w:hint="eastAsia" w:cs="等线"/>
                <w:bCs/>
                <w:sz w:val="15"/>
                <w:szCs w:val="21"/>
              </w:rPr>
              <w:t>（kg/m</w:t>
            </w:r>
            <w:r>
              <w:rPr>
                <w:rFonts w:hint="eastAsia" w:cs="等线"/>
                <w:bCs/>
                <w:sz w:val="15"/>
                <w:szCs w:val="21"/>
                <w:vertAlign w:val="superscript"/>
              </w:rPr>
              <w:t>3</w:t>
            </w:r>
            <w:r>
              <w:rPr>
                <w:rFonts w:hint="eastAsia" w:cs="等线"/>
                <w:bCs/>
                <w:sz w:val="15"/>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continue"/>
            <w:noWrap/>
            <w:vAlign w:val="center"/>
          </w:tcPr>
          <w:p>
            <w:pPr>
              <w:spacing w:line="240" w:lineRule="auto"/>
              <w:jc w:val="center"/>
              <w:textAlignment w:val="bottom"/>
              <w:rPr>
                <w:rFonts w:cs="等线"/>
                <w:bCs/>
                <w:sz w:val="15"/>
                <w:szCs w:val="21"/>
                <w:lang w:bidi="ar"/>
              </w:rPr>
            </w:pPr>
          </w:p>
        </w:tc>
        <w:tc>
          <w:tcPr>
            <w:tcW w:w="611" w:type="pct"/>
            <w:vMerge w:val="continue"/>
            <w:noWrap/>
            <w:vAlign w:val="center"/>
          </w:tcPr>
          <w:p>
            <w:pPr>
              <w:spacing w:line="240" w:lineRule="auto"/>
              <w:jc w:val="center"/>
              <w:textAlignment w:val="bottom"/>
              <w:rPr>
                <w:rFonts w:cs="等线"/>
                <w:bCs/>
                <w:sz w:val="15"/>
                <w:szCs w:val="21"/>
                <w:lang w:bidi="ar"/>
              </w:rPr>
            </w:pPr>
          </w:p>
        </w:tc>
        <w:tc>
          <w:tcPr>
            <w:tcW w:w="452" w:type="pct"/>
            <w:vMerge w:val="continue"/>
            <w:noWrap w:val="0"/>
            <w:vAlign w:val="center"/>
          </w:tcPr>
          <w:p>
            <w:pPr>
              <w:spacing w:line="240" w:lineRule="auto"/>
              <w:jc w:val="center"/>
              <w:textAlignment w:val="bottom"/>
              <w:rPr>
                <w:rFonts w:cs="等线"/>
                <w:bCs/>
                <w:sz w:val="15"/>
                <w:szCs w:val="21"/>
                <w:lang w:bidi="ar"/>
              </w:rPr>
            </w:pP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675" w:type="pct"/>
            <w:vMerge w:val="continue"/>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原煤</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无烟煤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27.4</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20908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1.97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烟煤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26.1</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20908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褐煤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28.0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96</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20908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洗精煤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25.41</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r>
              <w:rPr>
                <w:rFonts w:hint="eastAsia" w:cs="等线"/>
                <w:bCs/>
                <w:sz w:val="15"/>
                <w:szCs w:val="21"/>
                <w:vertAlign w:val="superscript"/>
                <w:lang w:bidi="ar"/>
              </w:rPr>
              <w:t>g</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26344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2.45</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w:t>
            </w:r>
          </w:p>
          <w:p>
            <w:pPr>
              <w:spacing w:line="240" w:lineRule="auto"/>
              <w:jc w:val="center"/>
              <w:textAlignment w:val="bottom"/>
              <w:rPr>
                <w:rFonts w:cs="等线"/>
                <w:bCs/>
                <w:sz w:val="15"/>
                <w:szCs w:val="21"/>
                <w:lang w:bidi="ar"/>
              </w:rPr>
            </w:pPr>
            <w:r>
              <w:rPr>
                <w:rFonts w:hint="eastAsia" w:cs="等线"/>
                <w:bCs/>
                <w:sz w:val="15"/>
                <w:szCs w:val="21"/>
                <w:lang w:bidi="ar"/>
              </w:rPr>
              <w:t>洗煤</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洗中煤</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25.41</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r>
              <w:rPr>
                <w:rFonts w:hint="eastAsia" w:cs="等线"/>
                <w:bCs/>
                <w:sz w:val="15"/>
                <w:szCs w:val="21"/>
                <w:vertAlign w:val="superscript"/>
                <w:lang w:bidi="ar"/>
              </w:rPr>
              <w:t>g</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8363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0.78</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煤泥</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25.41</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r>
              <w:rPr>
                <w:rFonts w:hint="eastAsia" w:cs="等线"/>
                <w:bCs/>
                <w:sz w:val="15"/>
                <w:szCs w:val="21"/>
                <w:vertAlign w:val="superscript"/>
                <w:lang w:bidi="ar"/>
              </w:rPr>
              <w:t>g</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12545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1.17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焦炭</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29.42</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28435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2.85</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原油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20.08</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41816</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21.10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41816</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3.17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汽油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18.90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43070</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2.92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775</w:t>
            </w:r>
            <w:r>
              <w:rPr>
                <w:rFonts w:hint="eastAsia" w:cs="等线"/>
                <w:bCs/>
                <w:sz w:val="15"/>
                <w:szCs w:val="21"/>
                <w:vertAlign w:val="superscript"/>
                <w:lang w:bidi="ar"/>
              </w:rPr>
              <w:t>i</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一般煤油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19.60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43070</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3.03</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840</w:t>
            </w:r>
            <w:r>
              <w:rPr>
                <w:rFonts w:hint="eastAsia" w:cs="等线"/>
                <w:bCs/>
                <w:sz w:val="15"/>
                <w:szCs w:val="21"/>
                <w:vertAlign w:val="superscript"/>
                <w:lang w:bidi="ar"/>
              </w:rPr>
              <w:t>j</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柴油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42652</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3.10</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845</w:t>
            </w:r>
            <w:r>
              <w:rPr>
                <w:rFonts w:hint="eastAsia" w:cs="等线"/>
                <w:bCs/>
                <w:sz w:val="15"/>
                <w:szCs w:val="21"/>
                <w:vertAlign w:val="superscript"/>
                <w:lang w:bidi="ar"/>
              </w:rPr>
              <w:t>k</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液化天然气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15.32</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46900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2.58</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液化石油气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17.20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50179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3.10</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炼厂干气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46055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3.04</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乙烷</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18.70</w:t>
            </w:r>
            <w:r>
              <w:rPr>
                <w:rFonts w:hint="eastAsia" w:cs="等线"/>
                <w:bCs/>
                <w:sz w:val="15"/>
                <w:szCs w:val="21"/>
                <w:vertAlign w:val="superscript"/>
                <w:lang w:bidi="ar"/>
              </w:rPr>
              <w:t>f</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48800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3.28</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w:t>
            </w:r>
          </w:p>
          <w:p>
            <w:pPr>
              <w:spacing w:line="240" w:lineRule="auto"/>
              <w:jc w:val="center"/>
              <w:textAlignment w:val="bottom"/>
              <w:rPr>
                <w:rFonts w:cs="等线"/>
                <w:bCs/>
                <w:sz w:val="15"/>
                <w:szCs w:val="21"/>
                <w:lang w:bidi="ar"/>
              </w:rPr>
            </w:pPr>
            <w:r>
              <w:rPr>
                <w:rFonts w:hint="eastAsia" w:cs="等线"/>
                <w:bCs/>
                <w:sz w:val="15"/>
                <w:szCs w:val="21"/>
                <w:lang w:bidi="ar"/>
              </w:rPr>
              <w:t>石油</w:t>
            </w:r>
          </w:p>
          <w:p>
            <w:pPr>
              <w:spacing w:line="240" w:lineRule="auto"/>
              <w:jc w:val="center"/>
              <w:textAlignment w:val="bottom"/>
              <w:rPr>
                <w:rFonts w:cs="等线"/>
                <w:bCs/>
                <w:sz w:val="15"/>
                <w:szCs w:val="21"/>
                <w:lang w:bidi="ar"/>
              </w:rPr>
            </w:pPr>
            <w:r>
              <w:rPr>
                <w:rFonts w:hint="eastAsia" w:cs="等线"/>
                <w:bCs/>
                <w:sz w:val="15"/>
                <w:szCs w:val="21"/>
                <w:lang w:bidi="ar"/>
              </w:rPr>
              <w:t>制品</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沥青</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22.00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41200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3.26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润滑油</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20.00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42300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3.04</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石油焦</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27.50</w:t>
            </w:r>
            <w:r>
              <w:rPr>
                <w:rFonts w:hint="eastAsia" w:cs="等线"/>
                <w:bCs/>
                <w:sz w:val="15"/>
                <w:szCs w:val="21"/>
                <w:vertAlign w:val="superscript"/>
                <w:lang w:bidi="ar"/>
              </w:rPr>
              <w:t>e</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41900</w:t>
            </w:r>
            <w:r>
              <w:rPr>
                <w:rFonts w:hint="eastAsia" w:cs="等线"/>
                <w:bCs/>
                <w:sz w:val="15"/>
                <w:szCs w:val="21"/>
                <w:vertAlign w:val="superscript"/>
                <w:lang w:bidi="ar"/>
              </w:rPr>
              <w:t>h</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kJ/kg</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4.14</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/t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天然气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15.32</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38931</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0.0022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焦炉煤气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13.58</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17981</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0.00089</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000" w:type="pct"/>
            <w:gridSpan w:val="2"/>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高炉煤气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3763</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0.00017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bl>
    <w:p>
      <w:pPr>
        <w:spacing w:line="240" w:lineRule="auto"/>
        <w:rPr>
          <w:rFonts w:cs="等线"/>
          <w:bCs/>
          <w:sz w:val="15"/>
          <w:szCs w:val="15"/>
          <w:lang w:bidi="ar"/>
        </w:rPr>
      </w:pPr>
    </w:p>
    <w:p>
      <w:pPr>
        <w:spacing w:line="240" w:lineRule="auto"/>
        <w:jc w:val="center"/>
        <w:rPr>
          <w:rFonts w:cs="等线"/>
          <w:bCs/>
          <w:sz w:val="15"/>
          <w:szCs w:val="15"/>
          <w:lang w:bidi="ar"/>
        </w:rPr>
      </w:pPr>
      <w:bookmarkStart w:id="351" w:name="OLE_LINK201"/>
      <w:bookmarkStart w:id="352" w:name="OLE_LINK205"/>
      <w:r>
        <w:rPr>
          <w:rFonts w:hint="eastAsia" w:cs="等线"/>
          <w:bCs/>
          <w:sz w:val="18"/>
          <w:szCs w:val="21"/>
          <w:lang w:bidi="ar"/>
        </w:rPr>
        <w:t>续</w:t>
      </w:r>
      <w:bookmarkEnd w:id="351"/>
      <w:bookmarkEnd w:id="352"/>
      <w:r>
        <w:rPr>
          <w:rFonts w:hint="eastAsia" w:cs="等线"/>
          <w:bCs/>
          <w:sz w:val="18"/>
          <w:szCs w:val="21"/>
          <w:lang w:bidi="ar"/>
        </w:rPr>
        <w:t>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1</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57"/>
        <w:gridCol w:w="1294"/>
        <w:gridCol w:w="1133"/>
        <w:gridCol w:w="837"/>
        <w:gridCol w:w="1047"/>
        <w:gridCol w:w="1047"/>
        <w:gridCol w:w="1047"/>
        <w:gridCol w:w="1080"/>
        <w:gridCol w:w="1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燃料名称</w:t>
            </w:r>
          </w:p>
        </w:tc>
        <w:tc>
          <w:tcPr>
            <w:tcW w:w="611" w:type="pct"/>
            <w:vMerge w:val="restart"/>
            <w:noWrap/>
            <w:vAlign w:val="center"/>
          </w:tcPr>
          <w:p>
            <w:pPr>
              <w:spacing w:line="240" w:lineRule="auto"/>
              <w:jc w:val="center"/>
              <w:textAlignment w:val="bottom"/>
              <w:rPr>
                <w:rFonts w:cs="等线"/>
                <w:bCs/>
                <w:sz w:val="15"/>
                <w:szCs w:val="21"/>
              </w:rPr>
            </w:pPr>
            <w:r>
              <w:rPr>
                <w:rFonts w:cs="等线"/>
                <w:bCs/>
                <w:sz w:val="15"/>
                <w:szCs w:val="21"/>
              </w:rPr>
              <w:t>单位热值含碳量</w:t>
            </w:r>
          </w:p>
          <w:p>
            <w:pPr>
              <w:spacing w:line="240" w:lineRule="auto"/>
              <w:jc w:val="center"/>
              <w:textAlignment w:val="bottom"/>
              <w:rPr>
                <w:rFonts w:cs="等线"/>
                <w:bCs/>
                <w:sz w:val="15"/>
                <w:szCs w:val="21"/>
              </w:rPr>
            </w:pPr>
            <w:r>
              <w:rPr>
                <w:rFonts w:cs="等线"/>
                <w:bCs/>
                <w:sz w:val="15"/>
                <w:szCs w:val="21"/>
                <w:vertAlign w:val="superscript"/>
              </w:rPr>
              <w:t>a</w:t>
            </w:r>
            <w:r>
              <w:rPr>
                <w:rFonts w:cs="等线"/>
                <w:bCs/>
                <w:sz w:val="15"/>
                <w:szCs w:val="21"/>
              </w:rPr>
              <w:t>（</w:t>
            </w:r>
            <w:r>
              <w:rPr>
                <w:rFonts w:hint="eastAsia" w:cs="等线"/>
                <w:bCs/>
                <w:sz w:val="15"/>
                <w:szCs w:val="21"/>
              </w:rPr>
              <w:t>tC/TJ</w:t>
            </w:r>
            <w:r>
              <w:rPr>
                <w:rFonts w:cs="等线"/>
                <w:bCs/>
                <w:sz w:val="15"/>
                <w:szCs w:val="21"/>
              </w:rPr>
              <w:t>）</w:t>
            </w:r>
          </w:p>
        </w:tc>
        <w:tc>
          <w:tcPr>
            <w:tcW w:w="452" w:type="pct"/>
            <w:vMerge w:val="restar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碳氧化率</w:t>
            </w:r>
            <w:r>
              <w:rPr>
                <w:rFonts w:hint="eastAsia" w:cs="等线"/>
                <w:bCs/>
                <w:sz w:val="15"/>
                <w:szCs w:val="21"/>
                <w:vertAlign w:val="superscript"/>
                <w:lang w:bidi="ar"/>
              </w:rPr>
              <w:t>b</w:t>
            </w:r>
          </w:p>
          <w:p>
            <w:pPr>
              <w:spacing w:line="240" w:lineRule="auto"/>
              <w:jc w:val="center"/>
              <w:textAlignment w:val="bottom"/>
              <w:rPr>
                <w:rFonts w:cs="等线"/>
                <w:bCs/>
                <w:sz w:val="15"/>
                <w:szCs w:val="21"/>
                <w:lang w:bidi="ar"/>
              </w:rPr>
            </w:pPr>
            <w:r>
              <w:rPr>
                <w:rFonts w:hint="eastAsia" w:cs="等线"/>
                <w:bCs/>
                <w:sz w:val="15"/>
                <w:szCs w:val="21"/>
                <w:lang w:bidi="ar"/>
              </w:rPr>
              <w:t>（%）</w:t>
            </w:r>
          </w:p>
        </w:tc>
        <w:tc>
          <w:tcPr>
            <w:tcW w:w="1130" w:type="pct"/>
            <w:gridSpan w:val="2"/>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热值</w:t>
            </w:r>
            <w:r>
              <w:rPr>
                <w:rFonts w:hint="eastAsia" w:cs="等线"/>
                <w:bCs/>
                <w:sz w:val="15"/>
                <w:szCs w:val="21"/>
                <w:vertAlign w:val="superscript"/>
                <w:lang w:bidi="ar"/>
              </w:rPr>
              <w:t>c</w:t>
            </w:r>
          </w:p>
        </w:tc>
        <w:tc>
          <w:tcPr>
            <w:tcW w:w="1132" w:type="pct"/>
            <w:gridSpan w:val="2"/>
            <w:noWrap/>
            <w:vAlign w:val="center"/>
          </w:tcPr>
          <w:p>
            <w:pPr>
              <w:spacing w:line="240" w:lineRule="auto"/>
              <w:jc w:val="center"/>
              <w:textAlignment w:val="bottom"/>
              <w:rPr>
                <w:rFonts w:cs="等线"/>
                <w:bCs/>
                <w:sz w:val="15"/>
                <w:szCs w:val="21"/>
              </w:rPr>
            </w:pPr>
            <w:r>
              <w:rPr>
                <w:rFonts w:cs="等线"/>
                <w:bCs/>
                <w:sz w:val="15"/>
                <w:szCs w:val="21"/>
              </w:rPr>
              <w:t>排放因子</w:t>
            </w:r>
            <w:r>
              <w:rPr>
                <w:rFonts w:cs="等线"/>
                <w:bCs/>
                <w:sz w:val="15"/>
                <w:szCs w:val="21"/>
                <w:vertAlign w:val="superscript"/>
              </w:rPr>
              <w:t>d</w:t>
            </w:r>
          </w:p>
        </w:tc>
        <w:tc>
          <w:tcPr>
            <w:tcW w:w="675" w:type="pct"/>
            <w:vMerge w:val="restart"/>
            <w:noWrap/>
            <w:vAlign w:val="center"/>
          </w:tcPr>
          <w:p>
            <w:pPr>
              <w:spacing w:line="240" w:lineRule="auto"/>
              <w:jc w:val="center"/>
              <w:textAlignment w:val="bottom"/>
              <w:rPr>
                <w:rFonts w:cs="等线"/>
                <w:bCs/>
                <w:sz w:val="15"/>
                <w:szCs w:val="21"/>
              </w:rPr>
            </w:pPr>
            <w:r>
              <w:rPr>
                <w:rFonts w:cs="等线"/>
                <w:bCs/>
                <w:sz w:val="15"/>
                <w:szCs w:val="21"/>
              </w:rPr>
              <w:t>密度</w:t>
            </w:r>
          </w:p>
          <w:p>
            <w:pPr>
              <w:spacing w:line="240" w:lineRule="auto"/>
              <w:jc w:val="center"/>
              <w:textAlignment w:val="bottom"/>
              <w:rPr>
                <w:rFonts w:cs="等线"/>
                <w:bCs/>
                <w:sz w:val="15"/>
                <w:szCs w:val="21"/>
              </w:rPr>
            </w:pPr>
            <w:r>
              <w:rPr>
                <w:rFonts w:hint="eastAsia" w:cs="等线"/>
                <w:bCs/>
                <w:sz w:val="15"/>
                <w:szCs w:val="21"/>
              </w:rPr>
              <w:t>（kg/m</w:t>
            </w:r>
            <w:r>
              <w:rPr>
                <w:rFonts w:hint="eastAsia" w:cs="等线"/>
                <w:bCs/>
                <w:sz w:val="15"/>
                <w:szCs w:val="21"/>
                <w:vertAlign w:val="superscript"/>
              </w:rPr>
              <w:t>3</w:t>
            </w:r>
            <w:r>
              <w:rPr>
                <w:rFonts w:hint="eastAsia" w:cs="等线"/>
                <w:bCs/>
                <w:sz w:val="15"/>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1000" w:type="pct"/>
            <w:gridSpan w:val="2"/>
            <w:vMerge w:val="continue"/>
            <w:noWrap/>
            <w:vAlign w:val="center"/>
          </w:tcPr>
          <w:p>
            <w:pPr>
              <w:spacing w:line="240" w:lineRule="auto"/>
              <w:jc w:val="center"/>
              <w:textAlignment w:val="bottom"/>
              <w:rPr>
                <w:rFonts w:cs="等线"/>
                <w:bCs/>
                <w:sz w:val="15"/>
                <w:szCs w:val="21"/>
                <w:lang w:bidi="ar"/>
              </w:rPr>
            </w:pPr>
          </w:p>
        </w:tc>
        <w:tc>
          <w:tcPr>
            <w:tcW w:w="611" w:type="pct"/>
            <w:vMerge w:val="continue"/>
            <w:noWrap/>
            <w:vAlign w:val="center"/>
          </w:tcPr>
          <w:p>
            <w:pPr>
              <w:spacing w:line="240" w:lineRule="auto"/>
              <w:jc w:val="center"/>
              <w:textAlignment w:val="bottom"/>
              <w:rPr>
                <w:rFonts w:cs="等线"/>
                <w:bCs/>
                <w:sz w:val="15"/>
                <w:szCs w:val="21"/>
                <w:lang w:bidi="ar"/>
              </w:rPr>
            </w:pPr>
          </w:p>
        </w:tc>
        <w:tc>
          <w:tcPr>
            <w:tcW w:w="452" w:type="pct"/>
            <w:vMerge w:val="continue"/>
            <w:noWrap w:val="0"/>
            <w:vAlign w:val="center"/>
          </w:tcPr>
          <w:p>
            <w:pPr>
              <w:spacing w:line="240" w:lineRule="auto"/>
              <w:jc w:val="center"/>
              <w:textAlignment w:val="bottom"/>
              <w:rPr>
                <w:rFonts w:cs="等线"/>
                <w:bCs/>
                <w:sz w:val="15"/>
                <w:szCs w:val="21"/>
                <w:lang w:bidi="ar"/>
              </w:rPr>
            </w:pP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数值</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w:t>
            </w:r>
          </w:p>
        </w:tc>
        <w:tc>
          <w:tcPr>
            <w:tcW w:w="675" w:type="pct"/>
            <w:vMerge w:val="continue"/>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restar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w:t>
            </w:r>
          </w:p>
          <w:p>
            <w:pPr>
              <w:spacing w:line="240" w:lineRule="auto"/>
              <w:jc w:val="center"/>
              <w:textAlignment w:val="bottom"/>
              <w:rPr>
                <w:rFonts w:cs="等线"/>
                <w:bCs/>
                <w:sz w:val="15"/>
                <w:szCs w:val="21"/>
                <w:lang w:bidi="ar"/>
              </w:rPr>
            </w:pPr>
            <w:r>
              <w:rPr>
                <w:rFonts w:hint="eastAsia" w:cs="等线"/>
                <w:bCs/>
                <w:sz w:val="15"/>
                <w:szCs w:val="21"/>
                <w:lang w:bidi="ar"/>
              </w:rPr>
              <w:t>煤气</w:t>
            </w: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发生炉煤气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5227</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0.00023</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重油催化裂解煤气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19235</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0.00085</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重油热裂解煤气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35544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0.0016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焦炭制气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16308</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0.00072</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压力水化煤气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15054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0.00067</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02" w:type="pct"/>
            <w:vMerge w:val="continue"/>
            <w:noWrap/>
            <w:vAlign w:val="center"/>
          </w:tcPr>
          <w:p>
            <w:pPr>
              <w:spacing w:line="240" w:lineRule="auto"/>
              <w:jc w:val="center"/>
              <w:textAlignment w:val="bottom"/>
              <w:rPr>
                <w:rFonts w:cs="等线"/>
                <w:bCs/>
                <w:sz w:val="15"/>
                <w:szCs w:val="21"/>
                <w:lang w:bidi="ar"/>
              </w:rPr>
            </w:pPr>
          </w:p>
        </w:tc>
        <w:tc>
          <w:tcPr>
            <w:tcW w:w="698"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水煤气</w:t>
            </w:r>
          </w:p>
        </w:tc>
        <w:tc>
          <w:tcPr>
            <w:tcW w:w="61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12.20</w:t>
            </w:r>
          </w:p>
        </w:tc>
        <w:tc>
          <w:tcPr>
            <w:tcW w:w="452"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99</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10454</w:t>
            </w:r>
          </w:p>
        </w:tc>
        <w:tc>
          <w:tcPr>
            <w:tcW w:w="565"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kJ/m</w:t>
            </w:r>
            <w:r>
              <w:rPr>
                <w:rFonts w:hint="eastAsia" w:cs="等线"/>
                <w:bCs/>
                <w:sz w:val="15"/>
                <w:szCs w:val="21"/>
                <w:vertAlign w:val="superscript"/>
                <w:lang w:bidi="ar"/>
              </w:rPr>
              <w:t>3</w:t>
            </w:r>
          </w:p>
        </w:tc>
        <w:tc>
          <w:tcPr>
            <w:tcW w:w="56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0.00046</w:t>
            </w:r>
          </w:p>
        </w:tc>
        <w:tc>
          <w:tcPr>
            <w:tcW w:w="567"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tCO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3</w:t>
            </w:r>
            <w:r>
              <w:rPr>
                <w:rFonts w:hint="eastAsia" w:cs="等线"/>
                <w:bCs/>
                <w:sz w:val="15"/>
                <w:szCs w:val="21"/>
                <w:lang w:bidi="ar"/>
              </w:rPr>
              <w:t xml:space="preserve"> 燃料</w:t>
            </w:r>
          </w:p>
        </w:tc>
        <w:tc>
          <w:tcPr>
            <w:tcW w:w="675" w:type="pct"/>
            <w:noWrap/>
            <w:vAlign w:val="center"/>
          </w:tcPr>
          <w:p>
            <w:pPr>
              <w:spacing w:line="240" w:lineRule="auto"/>
              <w:jc w:val="center"/>
              <w:textAlignment w:val="bottom"/>
              <w:rPr>
                <w:rFonts w:cs="等线"/>
                <w:bCs/>
                <w:sz w:val="15"/>
                <w:szCs w:val="21"/>
                <w:lang w:bidi="ar"/>
              </w:rPr>
            </w:pPr>
          </w:p>
        </w:tc>
      </w:tr>
    </w:tbl>
    <w:p>
      <w:pPr>
        <w:spacing w:line="240" w:lineRule="auto"/>
        <w:rPr>
          <w:bCs/>
          <w:sz w:val="15"/>
          <w:szCs w:val="15"/>
        </w:rPr>
      </w:pPr>
      <w:r>
        <w:rPr>
          <w:rFonts w:hint="eastAsia" w:cs="等线"/>
          <w:bCs/>
          <w:sz w:val="15"/>
          <w:szCs w:val="15"/>
          <w:lang w:bidi="ar"/>
        </w:rPr>
        <w:t>注：</w:t>
      </w:r>
      <w:r>
        <w:rPr>
          <w:b/>
          <w:bCs/>
          <w:sz w:val="15"/>
          <w:szCs w:val="15"/>
        </w:rPr>
        <w:t>1</w:t>
      </w:r>
      <w:r>
        <w:rPr>
          <w:rFonts w:hint="eastAsia"/>
          <w:sz w:val="15"/>
          <w:szCs w:val="15"/>
        </w:rPr>
        <w:t xml:space="preserve"> </w:t>
      </w:r>
      <w:r>
        <w:rPr>
          <w:sz w:val="15"/>
          <w:szCs w:val="15"/>
        </w:rPr>
        <w:t xml:space="preserve"> 本表格</w:t>
      </w:r>
      <w:r>
        <w:rPr>
          <w:rFonts w:cs="等线"/>
          <w:bCs/>
          <w:sz w:val="15"/>
          <w:szCs w:val="21"/>
          <w:lang w:bidi="ar"/>
        </w:rPr>
        <w:t>来源于</w:t>
      </w:r>
      <w:r>
        <w:rPr>
          <w:rFonts w:hint="eastAsia" w:cs="等线"/>
          <w:bCs/>
          <w:sz w:val="15"/>
          <w:szCs w:val="21"/>
          <w:lang w:bidi="ar"/>
        </w:rPr>
        <w:t>《组织的温室气体排放量化和报告指南》SZDB/Z 69</w:t>
      </w:r>
      <w:r>
        <w:rPr>
          <w:rFonts w:hint="eastAsia"/>
          <w:bCs/>
          <w:sz w:val="15"/>
          <w:szCs w:val="15"/>
        </w:rPr>
        <w:t>；</w:t>
      </w:r>
    </w:p>
    <w:p>
      <w:pPr>
        <w:spacing w:line="240" w:lineRule="auto"/>
        <w:ind w:firstLine="301" w:firstLineChars="200"/>
        <w:rPr>
          <w:sz w:val="15"/>
          <w:szCs w:val="15"/>
        </w:rPr>
      </w:pPr>
      <w:r>
        <w:rPr>
          <w:b/>
          <w:bCs/>
          <w:sz w:val="15"/>
          <w:szCs w:val="15"/>
        </w:rPr>
        <w:t>2</w:t>
      </w:r>
      <w:r>
        <w:rPr>
          <w:rFonts w:hint="eastAsia"/>
          <w:sz w:val="15"/>
          <w:szCs w:val="15"/>
        </w:rPr>
        <w:t xml:space="preserve"> </w:t>
      </w:r>
      <w:r>
        <w:rPr>
          <w:sz w:val="15"/>
          <w:szCs w:val="15"/>
        </w:rPr>
        <w:t xml:space="preserve"> </w:t>
      </w:r>
      <w:r>
        <w:rPr>
          <w:rFonts w:cs="等线"/>
          <w:bCs/>
          <w:sz w:val="15"/>
          <w:szCs w:val="21"/>
          <w:vertAlign w:val="superscript"/>
          <w:lang w:bidi="ar"/>
        </w:rPr>
        <w:t>a</w:t>
      </w:r>
      <w:r>
        <w:rPr>
          <w:rFonts w:hint="eastAsia" w:cs="等线"/>
          <w:bCs/>
          <w:sz w:val="15"/>
          <w:szCs w:val="21"/>
          <w:lang w:bidi="ar"/>
        </w:rPr>
        <w:t>单位热值含碳量数据来源于《省级温室气体清单编制指南》表1.5，部分取表1.7</w:t>
      </w:r>
      <w:r>
        <w:rPr>
          <w:rFonts w:hint="eastAsia"/>
          <w:sz w:val="15"/>
          <w:szCs w:val="15"/>
        </w:rPr>
        <w:t>；</w:t>
      </w:r>
    </w:p>
    <w:p>
      <w:pPr>
        <w:spacing w:line="240" w:lineRule="auto"/>
        <w:ind w:firstLine="301" w:firstLineChars="200"/>
        <w:rPr>
          <w:sz w:val="15"/>
          <w:szCs w:val="15"/>
        </w:rPr>
      </w:pPr>
      <w:r>
        <w:rPr>
          <w:rFonts w:hint="eastAsia"/>
          <w:b/>
          <w:bCs/>
          <w:sz w:val="15"/>
          <w:szCs w:val="15"/>
        </w:rPr>
        <w:t>3</w:t>
      </w:r>
      <w:r>
        <w:rPr>
          <w:rFonts w:hint="eastAsia"/>
          <w:sz w:val="15"/>
          <w:szCs w:val="15"/>
        </w:rPr>
        <w:t xml:space="preserve"> </w:t>
      </w:r>
      <w:r>
        <w:rPr>
          <w:sz w:val="15"/>
          <w:szCs w:val="15"/>
        </w:rPr>
        <w:t xml:space="preserve"> </w:t>
      </w:r>
      <w:r>
        <w:rPr>
          <w:rFonts w:hint="eastAsia" w:cs="等线"/>
          <w:bCs/>
          <w:sz w:val="15"/>
          <w:szCs w:val="21"/>
          <w:vertAlign w:val="superscript"/>
          <w:lang w:bidi="ar"/>
        </w:rPr>
        <w:t>b</w:t>
      </w:r>
      <w:r>
        <w:rPr>
          <w:rFonts w:hint="eastAsia" w:cs="等线"/>
          <w:bCs/>
          <w:sz w:val="15"/>
          <w:szCs w:val="21"/>
          <w:lang w:bidi="ar"/>
        </w:rPr>
        <w:t>碳氧化率是指各种化石燃料在燃烧过程中被氧化的碳的比率，表征燃料的燃烧充分性。碳氧化率数据来源于《省级温室气体清单编制指南》表1.7，表中未涵盖的能源种类，按照《省级温室气体清单编制指南》中的叙述：气体燃料碳氧化率99%，液体燃料碳氧化率98%</w:t>
      </w:r>
      <w:r>
        <w:rPr>
          <w:rFonts w:hint="eastAsia"/>
          <w:sz w:val="15"/>
          <w:szCs w:val="15"/>
        </w:rPr>
        <w:t>；</w:t>
      </w:r>
    </w:p>
    <w:p>
      <w:pPr>
        <w:spacing w:line="240" w:lineRule="auto"/>
        <w:ind w:firstLine="301" w:firstLineChars="200"/>
        <w:rPr>
          <w:sz w:val="15"/>
          <w:szCs w:val="15"/>
        </w:rPr>
      </w:pPr>
      <w:r>
        <w:rPr>
          <w:rFonts w:hint="eastAsia"/>
          <w:b/>
          <w:bCs/>
          <w:sz w:val="15"/>
          <w:szCs w:val="15"/>
        </w:rPr>
        <w:t>4</w:t>
      </w:r>
      <w:r>
        <w:rPr>
          <w:rFonts w:hint="eastAsia"/>
          <w:sz w:val="15"/>
          <w:szCs w:val="15"/>
        </w:rPr>
        <w:t xml:space="preserve"> </w:t>
      </w:r>
      <w:r>
        <w:rPr>
          <w:sz w:val="15"/>
          <w:szCs w:val="15"/>
        </w:rPr>
        <w:t xml:space="preserve"> </w:t>
      </w:r>
      <w:r>
        <w:rPr>
          <w:rFonts w:hint="eastAsia" w:cs="等线"/>
          <w:bCs/>
          <w:sz w:val="15"/>
          <w:szCs w:val="21"/>
          <w:vertAlign w:val="superscript"/>
          <w:lang w:bidi="ar"/>
        </w:rPr>
        <w:t>c</w:t>
      </w:r>
      <w:r>
        <w:rPr>
          <w:rFonts w:hint="eastAsia" w:cs="等线"/>
          <w:bCs/>
          <w:sz w:val="15"/>
          <w:szCs w:val="21"/>
          <w:lang w:bidi="ar"/>
        </w:rPr>
        <w:t>热值数据来源于</w:t>
      </w:r>
      <w:bookmarkStart w:id="353" w:name="OLE_LINK98"/>
      <w:r>
        <w:rPr>
          <w:rFonts w:hint="eastAsia" w:cs="等线"/>
          <w:bCs/>
          <w:sz w:val="15"/>
          <w:szCs w:val="21"/>
          <w:lang w:bidi="ar"/>
        </w:rPr>
        <w:t>《综合能耗计算通则》GB/T 2589</w:t>
      </w:r>
      <w:bookmarkEnd w:id="353"/>
      <w:r>
        <w:rPr>
          <w:rFonts w:hint="eastAsia" w:cs="等线"/>
          <w:bCs/>
          <w:sz w:val="15"/>
          <w:szCs w:val="21"/>
          <w:lang w:bidi="ar"/>
        </w:rPr>
        <w:t>附录A各种能源折标准煤参考系数表中的平均低位发热值，以区间段给出取其最高值</w:t>
      </w:r>
      <w:r>
        <w:rPr>
          <w:rFonts w:hint="eastAsia"/>
          <w:sz w:val="15"/>
          <w:szCs w:val="15"/>
        </w:rPr>
        <w:t>；</w:t>
      </w:r>
    </w:p>
    <w:p>
      <w:pPr>
        <w:spacing w:line="240" w:lineRule="auto"/>
        <w:ind w:firstLine="301" w:firstLineChars="200"/>
        <w:rPr>
          <w:sz w:val="15"/>
          <w:szCs w:val="15"/>
        </w:rPr>
      </w:pPr>
      <w:r>
        <w:rPr>
          <w:rFonts w:hint="eastAsia"/>
          <w:b/>
          <w:bCs/>
          <w:sz w:val="15"/>
          <w:szCs w:val="15"/>
        </w:rPr>
        <w:t>5</w:t>
      </w:r>
      <w:r>
        <w:rPr>
          <w:rFonts w:hint="eastAsia"/>
          <w:sz w:val="15"/>
          <w:szCs w:val="15"/>
        </w:rPr>
        <w:t xml:space="preserve"> </w:t>
      </w:r>
      <w:r>
        <w:rPr>
          <w:sz w:val="15"/>
          <w:szCs w:val="15"/>
        </w:rPr>
        <w:t xml:space="preserve"> </w:t>
      </w:r>
      <w:r>
        <w:rPr>
          <w:rFonts w:hint="eastAsia" w:cs="等线"/>
          <w:bCs/>
          <w:sz w:val="15"/>
          <w:szCs w:val="21"/>
          <w:vertAlign w:val="superscript"/>
          <w:lang w:bidi="ar"/>
        </w:rPr>
        <w:t>d</w:t>
      </w:r>
      <w:r>
        <w:rPr>
          <w:rFonts w:hint="eastAsia" w:cs="等线"/>
          <w:bCs/>
          <w:sz w:val="15"/>
          <w:szCs w:val="21"/>
          <w:lang w:bidi="ar"/>
        </w:rPr>
        <w:t>排放因子计算方法为：排放因子=单位热值含碳量</w:t>
      </w:r>
      <w:r>
        <w:rPr>
          <w:bCs/>
          <w:sz w:val="15"/>
          <w:szCs w:val="21"/>
          <w:lang w:bidi="ar"/>
        </w:rPr>
        <w:t>×</w:t>
      </w:r>
      <w:r>
        <w:rPr>
          <w:rFonts w:hint="eastAsia" w:cs="等线"/>
          <w:bCs/>
          <w:sz w:val="15"/>
          <w:szCs w:val="21"/>
          <w:lang w:bidi="ar"/>
        </w:rPr>
        <w:t>碳氧化率</w:t>
      </w:r>
      <w:r>
        <w:rPr>
          <w:bCs/>
          <w:sz w:val="15"/>
          <w:szCs w:val="21"/>
          <w:lang w:bidi="ar"/>
        </w:rPr>
        <w:t>×</w:t>
      </w:r>
      <w:r>
        <w:rPr>
          <w:rFonts w:hint="eastAsia" w:cs="等线"/>
          <w:bCs/>
          <w:sz w:val="15"/>
          <w:szCs w:val="21"/>
          <w:lang w:bidi="ar"/>
        </w:rPr>
        <w:t>热值</w:t>
      </w:r>
      <w:r>
        <w:rPr>
          <w:bCs/>
          <w:sz w:val="15"/>
          <w:szCs w:val="21"/>
          <w:lang w:bidi="ar"/>
        </w:rPr>
        <w:t>×</w:t>
      </w:r>
      <w:r>
        <w:rPr>
          <w:rFonts w:hint="eastAsia" w:cs="等线"/>
          <w:bCs/>
          <w:sz w:val="15"/>
          <w:szCs w:val="21"/>
          <w:lang w:bidi="ar"/>
        </w:rPr>
        <w:t>44/12</w:t>
      </w:r>
      <w:r>
        <w:rPr>
          <w:rFonts w:hint="eastAsia"/>
          <w:sz w:val="15"/>
          <w:szCs w:val="15"/>
        </w:rPr>
        <w:t>；</w:t>
      </w:r>
    </w:p>
    <w:p>
      <w:pPr>
        <w:spacing w:line="240" w:lineRule="auto"/>
        <w:ind w:firstLine="301" w:firstLineChars="200"/>
        <w:rPr>
          <w:sz w:val="15"/>
          <w:szCs w:val="15"/>
        </w:rPr>
      </w:pPr>
      <w:r>
        <w:rPr>
          <w:rFonts w:hint="eastAsia"/>
          <w:b/>
          <w:bCs/>
          <w:sz w:val="15"/>
          <w:szCs w:val="15"/>
        </w:rPr>
        <w:t>6</w:t>
      </w:r>
      <w:r>
        <w:rPr>
          <w:rFonts w:hint="eastAsia"/>
          <w:sz w:val="15"/>
          <w:szCs w:val="15"/>
        </w:rPr>
        <w:t xml:space="preserve"> </w:t>
      </w:r>
      <w:r>
        <w:rPr>
          <w:sz w:val="15"/>
          <w:szCs w:val="15"/>
        </w:rPr>
        <w:t xml:space="preserve"> </w:t>
      </w:r>
      <w:r>
        <w:rPr>
          <w:rFonts w:hint="eastAsia" w:cs="等线"/>
          <w:bCs/>
          <w:sz w:val="15"/>
          <w:szCs w:val="21"/>
          <w:vertAlign w:val="superscript"/>
          <w:lang w:bidi="ar"/>
        </w:rPr>
        <w:t>e</w:t>
      </w:r>
      <w:r>
        <w:rPr>
          <w:rFonts w:hint="eastAsia" w:cs="等线"/>
          <w:bCs/>
          <w:sz w:val="15"/>
          <w:szCs w:val="21"/>
          <w:lang w:bidi="ar"/>
        </w:rPr>
        <w:t>取《省级温室气体清单编制指南》表1.7</w:t>
      </w:r>
      <w:r>
        <w:rPr>
          <w:rFonts w:hint="eastAsia"/>
          <w:sz w:val="15"/>
          <w:szCs w:val="15"/>
        </w:rPr>
        <w:t>；</w:t>
      </w:r>
    </w:p>
    <w:p>
      <w:pPr>
        <w:spacing w:line="240" w:lineRule="auto"/>
        <w:ind w:firstLine="301" w:firstLineChars="200"/>
        <w:rPr>
          <w:sz w:val="15"/>
          <w:szCs w:val="15"/>
        </w:rPr>
      </w:pPr>
      <w:r>
        <w:rPr>
          <w:rFonts w:hint="eastAsia"/>
          <w:b/>
          <w:bCs/>
          <w:sz w:val="15"/>
          <w:szCs w:val="15"/>
        </w:rPr>
        <w:t>7</w:t>
      </w:r>
      <w:r>
        <w:rPr>
          <w:rFonts w:hint="eastAsia"/>
          <w:sz w:val="15"/>
          <w:szCs w:val="15"/>
        </w:rPr>
        <w:t xml:space="preserve"> </w:t>
      </w:r>
      <w:r>
        <w:rPr>
          <w:sz w:val="15"/>
          <w:szCs w:val="15"/>
        </w:rPr>
        <w:t xml:space="preserve"> </w:t>
      </w:r>
      <w:r>
        <w:rPr>
          <w:rFonts w:hint="eastAsia" w:cs="等线"/>
          <w:bCs/>
          <w:sz w:val="15"/>
          <w:szCs w:val="21"/>
          <w:vertAlign w:val="superscript"/>
          <w:lang w:bidi="ar"/>
        </w:rPr>
        <w:t>f</w:t>
      </w:r>
      <w:r>
        <w:rPr>
          <w:rFonts w:hint="eastAsia" w:cs="等线"/>
          <w:bCs/>
          <w:sz w:val="15"/>
          <w:szCs w:val="21"/>
          <w:lang w:bidi="ar"/>
        </w:rPr>
        <w:t>《省级温室气体清单编制指南》表1.5和表1.7中均没有该燃料的含碳量，取IPCC第2卷表1.3《含碳量的缺省值》的上限值</w:t>
      </w:r>
      <w:r>
        <w:rPr>
          <w:rFonts w:hint="eastAsia"/>
          <w:sz w:val="15"/>
          <w:szCs w:val="15"/>
        </w:rPr>
        <w:t>；</w:t>
      </w:r>
    </w:p>
    <w:p>
      <w:pPr>
        <w:spacing w:line="240" w:lineRule="auto"/>
        <w:ind w:firstLine="301" w:firstLineChars="200"/>
        <w:rPr>
          <w:sz w:val="15"/>
          <w:szCs w:val="15"/>
        </w:rPr>
      </w:pPr>
      <w:r>
        <w:rPr>
          <w:rFonts w:hint="eastAsia"/>
          <w:b/>
          <w:bCs/>
          <w:sz w:val="15"/>
          <w:szCs w:val="15"/>
        </w:rPr>
        <w:t>8</w:t>
      </w:r>
      <w:r>
        <w:rPr>
          <w:rFonts w:hint="eastAsia"/>
          <w:sz w:val="15"/>
          <w:szCs w:val="15"/>
        </w:rPr>
        <w:t xml:space="preserve"> </w:t>
      </w:r>
      <w:r>
        <w:rPr>
          <w:sz w:val="15"/>
          <w:szCs w:val="15"/>
        </w:rPr>
        <w:t xml:space="preserve"> </w:t>
      </w:r>
      <w:r>
        <w:rPr>
          <w:rFonts w:hint="eastAsia" w:cs="等线"/>
          <w:bCs/>
          <w:sz w:val="15"/>
          <w:szCs w:val="21"/>
          <w:vertAlign w:val="superscript"/>
          <w:lang w:bidi="ar"/>
        </w:rPr>
        <w:t>g</w:t>
      </w:r>
      <w:r>
        <w:rPr>
          <w:rFonts w:hint="eastAsia" w:cs="等线"/>
          <w:bCs/>
          <w:sz w:val="15"/>
          <w:szCs w:val="21"/>
          <w:lang w:bidi="ar"/>
        </w:rPr>
        <w:t>《省级温室气体清单编制指南》表1.7中没有该燃料的碳氧化率数据，取缺省值100%</w:t>
      </w:r>
      <w:r>
        <w:rPr>
          <w:rFonts w:hint="eastAsia"/>
          <w:sz w:val="15"/>
          <w:szCs w:val="15"/>
        </w:rPr>
        <w:t>；</w:t>
      </w:r>
    </w:p>
    <w:p>
      <w:pPr>
        <w:spacing w:line="240" w:lineRule="auto"/>
        <w:ind w:firstLine="301" w:firstLineChars="200"/>
        <w:rPr>
          <w:sz w:val="15"/>
          <w:szCs w:val="15"/>
        </w:rPr>
      </w:pPr>
      <w:r>
        <w:rPr>
          <w:rFonts w:hint="eastAsia"/>
          <w:b/>
          <w:bCs/>
          <w:sz w:val="15"/>
          <w:szCs w:val="15"/>
        </w:rPr>
        <w:t>9</w:t>
      </w:r>
      <w:r>
        <w:rPr>
          <w:rFonts w:hint="eastAsia"/>
          <w:sz w:val="15"/>
          <w:szCs w:val="15"/>
        </w:rPr>
        <w:t xml:space="preserve"> </w:t>
      </w:r>
      <w:r>
        <w:rPr>
          <w:sz w:val="15"/>
          <w:szCs w:val="15"/>
        </w:rPr>
        <w:t xml:space="preserve"> </w:t>
      </w:r>
      <w:r>
        <w:rPr>
          <w:rFonts w:hint="eastAsia" w:cs="等线"/>
          <w:bCs/>
          <w:sz w:val="15"/>
          <w:szCs w:val="21"/>
          <w:vertAlign w:val="superscript"/>
          <w:lang w:bidi="ar"/>
        </w:rPr>
        <w:t>h</w:t>
      </w:r>
      <w:r>
        <w:rPr>
          <w:rFonts w:hint="eastAsia" w:cs="等线"/>
          <w:bCs/>
          <w:sz w:val="15"/>
          <w:szCs w:val="21"/>
          <w:lang w:bidi="ar"/>
        </w:rPr>
        <w:t>《综合能耗计算通则》GB/T 2589中没有该燃料的热值数据，按IPCC第2卷表1.2《缺失经发热值（NCVs）和95%置信区间的下限和上限》的上限值，并经过单位换算</w:t>
      </w:r>
      <w:r>
        <w:rPr>
          <w:rFonts w:hint="eastAsia"/>
          <w:sz w:val="15"/>
          <w:szCs w:val="15"/>
        </w:rPr>
        <w:t>；</w:t>
      </w:r>
    </w:p>
    <w:p>
      <w:pPr>
        <w:spacing w:line="240" w:lineRule="auto"/>
        <w:ind w:firstLine="301" w:firstLineChars="200"/>
        <w:rPr>
          <w:sz w:val="15"/>
          <w:szCs w:val="15"/>
        </w:rPr>
      </w:pPr>
      <w:r>
        <w:rPr>
          <w:rFonts w:hint="eastAsia"/>
          <w:b/>
          <w:bCs/>
          <w:sz w:val="15"/>
          <w:szCs w:val="15"/>
        </w:rPr>
        <w:t>10</w:t>
      </w:r>
      <w:r>
        <w:rPr>
          <w:rFonts w:hint="eastAsia"/>
          <w:sz w:val="15"/>
          <w:szCs w:val="15"/>
        </w:rPr>
        <w:t xml:space="preserve"> </w:t>
      </w:r>
      <w:r>
        <w:rPr>
          <w:sz w:val="15"/>
          <w:szCs w:val="15"/>
        </w:rPr>
        <w:t xml:space="preserve"> </w:t>
      </w:r>
      <w:r>
        <w:rPr>
          <w:rFonts w:hint="eastAsia" w:cs="等线"/>
          <w:bCs/>
          <w:sz w:val="15"/>
          <w:szCs w:val="21"/>
          <w:vertAlign w:val="superscript"/>
          <w:lang w:bidi="ar"/>
        </w:rPr>
        <w:t>i</w:t>
      </w:r>
      <w:r>
        <w:rPr>
          <w:rFonts w:hint="eastAsia" w:cs="等线"/>
          <w:bCs/>
          <w:sz w:val="15"/>
          <w:szCs w:val="21"/>
          <w:lang w:bidi="ar"/>
        </w:rPr>
        <w:t>汽油密度来源于《车用汽油》GB 17930</w:t>
      </w:r>
      <w:r>
        <w:rPr>
          <w:rFonts w:hint="eastAsia"/>
          <w:sz w:val="15"/>
          <w:szCs w:val="15"/>
        </w:rPr>
        <w:t>；</w:t>
      </w:r>
    </w:p>
    <w:p>
      <w:pPr>
        <w:spacing w:line="240" w:lineRule="auto"/>
        <w:ind w:firstLine="301" w:firstLineChars="200"/>
        <w:rPr>
          <w:sz w:val="15"/>
          <w:szCs w:val="15"/>
        </w:rPr>
      </w:pPr>
      <w:r>
        <w:rPr>
          <w:rFonts w:hint="eastAsia"/>
          <w:b/>
          <w:bCs/>
          <w:sz w:val="15"/>
          <w:szCs w:val="15"/>
        </w:rPr>
        <w:t>11</w:t>
      </w:r>
      <w:r>
        <w:rPr>
          <w:rFonts w:hint="eastAsia"/>
          <w:sz w:val="15"/>
          <w:szCs w:val="15"/>
        </w:rPr>
        <w:t xml:space="preserve"> </w:t>
      </w:r>
      <w:r>
        <w:rPr>
          <w:sz w:val="15"/>
          <w:szCs w:val="15"/>
        </w:rPr>
        <w:t xml:space="preserve"> </w:t>
      </w:r>
      <w:r>
        <w:rPr>
          <w:rFonts w:cs="等线"/>
          <w:bCs/>
          <w:sz w:val="15"/>
          <w:szCs w:val="21"/>
          <w:vertAlign w:val="superscript"/>
          <w:lang w:bidi="ar"/>
        </w:rPr>
        <w:t>g</w:t>
      </w:r>
      <w:r>
        <w:rPr>
          <w:rFonts w:cs="等线"/>
          <w:bCs/>
          <w:sz w:val="15"/>
          <w:szCs w:val="21"/>
          <w:lang w:bidi="ar"/>
        </w:rPr>
        <w:t>煤油密度来源于《煤油》GB</w:t>
      </w:r>
      <w:r>
        <w:rPr>
          <w:rFonts w:hint="eastAsia" w:cs="等线"/>
          <w:bCs/>
          <w:sz w:val="15"/>
          <w:szCs w:val="21"/>
          <w:lang w:bidi="ar"/>
        </w:rPr>
        <w:t xml:space="preserve"> 253</w:t>
      </w:r>
      <w:r>
        <w:rPr>
          <w:rFonts w:hint="eastAsia"/>
          <w:sz w:val="15"/>
          <w:szCs w:val="15"/>
        </w:rPr>
        <w:t>；</w:t>
      </w:r>
    </w:p>
    <w:p>
      <w:pPr>
        <w:spacing w:line="240" w:lineRule="auto"/>
        <w:ind w:firstLine="301" w:firstLineChars="200"/>
        <w:rPr>
          <w:sz w:val="15"/>
          <w:szCs w:val="15"/>
        </w:rPr>
      </w:pPr>
      <w:r>
        <w:rPr>
          <w:rFonts w:hint="eastAsia"/>
          <w:b/>
          <w:bCs/>
          <w:sz w:val="15"/>
          <w:szCs w:val="15"/>
        </w:rPr>
        <w:t>12</w:t>
      </w:r>
      <w:r>
        <w:rPr>
          <w:rFonts w:hint="eastAsia"/>
          <w:sz w:val="15"/>
          <w:szCs w:val="15"/>
        </w:rPr>
        <w:t xml:space="preserve"> </w:t>
      </w:r>
      <w:r>
        <w:rPr>
          <w:sz w:val="15"/>
          <w:szCs w:val="15"/>
        </w:rPr>
        <w:t xml:space="preserve"> </w:t>
      </w:r>
      <w:r>
        <w:rPr>
          <w:rFonts w:hint="eastAsia" w:cs="等线"/>
          <w:bCs/>
          <w:sz w:val="15"/>
          <w:szCs w:val="21"/>
          <w:vertAlign w:val="superscript"/>
          <w:lang w:bidi="ar"/>
        </w:rPr>
        <w:t>k</w:t>
      </w:r>
      <w:r>
        <w:rPr>
          <w:rFonts w:hint="eastAsia" w:cs="等线"/>
          <w:bCs/>
          <w:sz w:val="15"/>
          <w:szCs w:val="21"/>
          <w:lang w:bidi="ar"/>
        </w:rPr>
        <w:t>柴油密度来源于《车用柴油》GB 19147</w:t>
      </w:r>
      <w:r>
        <w:rPr>
          <w:sz w:val="15"/>
          <w:szCs w:val="15"/>
        </w:rPr>
        <w:t>。</w:t>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其他能源碳排放因子表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1227"/>
        <w:gridCol w:w="2258"/>
        <w:gridCol w:w="1396"/>
        <w:gridCol w:w="1859"/>
        <w:gridCol w:w="2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60"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燃料名称</w:t>
            </w:r>
          </w:p>
        </w:tc>
        <w:tc>
          <w:tcPr>
            <w:tcW w:w="121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单位热值含碳量</w:t>
            </w:r>
            <w:r>
              <w:rPr>
                <w:rFonts w:hint="eastAsia" w:cs="等线"/>
                <w:bCs/>
                <w:sz w:val="15"/>
                <w:szCs w:val="21"/>
                <w:vertAlign w:val="superscript"/>
                <w:lang w:bidi="ar"/>
              </w:rPr>
              <w:t>a</w:t>
            </w:r>
          </w:p>
          <w:p>
            <w:pPr>
              <w:spacing w:line="240" w:lineRule="auto"/>
              <w:jc w:val="center"/>
              <w:textAlignment w:val="bottom"/>
              <w:rPr>
                <w:rFonts w:cs="等线"/>
                <w:bCs/>
                <w:sz w:val="15"/>
                <w:szCs w:val="21"/>
                <w:lang w:bidi="ar"/>
              </w:rPr>
            </w:pPr>
            <w:r>
              <w:rPr>
                <w:rFonts w:hint="eastAsia" w:cs="等线"/>
                <w:bCs/>
                <w:sz w:val="15"/>
                <w:szCs w:val="21"/>
                <w:lang w:bidi="ar"/>
              </w:rPr>
              <w:t>（tC/TJ）</w:t>
            </w:r>
          </w:p>
        </w:tc>
        <w:tc>
          <w:tcPr>
            <w:tcW w:w="751" w:type="pct"/>
            <w:noWrap w:val="0"/>
            <w:vAlign w:val="center"/>
          </w:tcPr>
          <w:p>
            <w:pPr>
              <w:spacing w:line="240" w:lineRule="auto"/>
              <w:jc w:val="center"/>
              <w:textAlignment w:val="bottom"/>
              <w:rPr>
                <w:rFonts w:cs="等线"/>
                <w:bCs/>
                <w:sz w:val="15"/>
                <w:szCs w:val="21"/>
                <w:vertAlign w:val="superscript"/>
                <w:lang w:bidi="ar"/>
              </w:rPr>
            </w:pPr>
            <w:r>
              <w:rPr>
                <w:rFonts w:hint="eastAsia" w:cs="等线"/>
                <w:bCs/>
                <w:sz w:val="15"/>
                <w:szCs w:val="21"/>
                <w:lang w:bidi="ar"/>
              </w:rPr>
              <w:t>碳氧化率</w:t>
            </w:r>
            <w:r>
              <w:rPr>
                <w:rFonts w:hint="eastAsia" w:cs="等线"/>
                <w:bCs/>
                <w:sz w:val="15"/>
                <w:szCs w:val="21"/>
                <w:vertAlign w:val="superscript"/>
                <w:lang w:bidi="ar"/>
              </w:rPr>
              <w:t>b</w:t>
            </w:r>
          </w:p>
          <w:p>
            <w:pPr>
              <w:spacing w:line="240" w:lineRule="auto"/>
              <w:jc w:val="center"/>
              <w:textAlignment w:val="bottom"/>
              <w:rPr>
                <w:rFonts w:cs="等线"/>
                <w:bCs/>
                <w:sz w:val="15"/>
                <w:szCs w:val="21"/>
                <w:lang w:bidi="ar"/>
              </w:rPr>
            </w:pPr>
            <w:r>
              <w:rPr>
                <w:rFonts w:hint="eastAsia" w:cs="等线"/>
                <w:bCs/>
                <w:sz w:val="15"/>
                <w:szCs w:val="21"/>
                <w:lang w:bidi="ar"/>
              </w:rPr>
              <w:t>（%）</w:t>
            </w:r>
          </w:p>
        </w:tc>
        <w:tc>
          <w:tcPr>
            <w:tcW w:w="1000"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热值（kJ/kg）</w:t>
            </w:r>
          </w:p>
        </w:tc>
        <w:tc>
          <w:tcPr>
            <w:tcW w:w="1374"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排放因子（tCO</w:t>
            </w:r>
            <w:r>
              <w:rPr>
                <w:rFonts w:hint="eastAsia" w:cs="等线"/>
                <w:bCs/>
                <w:sz w:val="15"/>
                <w:szCs w:val="21"/>
                <w:vertAlign w:val="subscript"/>
                <w:lang w:bidi="ar"/>
              </w:rPr>
              <w:t>2e</w:t>
            </w:r>
            <w:r>
              <w:rPr>
                <w:rFonts w:hint="eastAsia" w:cs="等线"/>
                <w:bCs/>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60"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木材/废木材</w:t>
            </w:r>
          </w:p>
        </w:tc>
        <w:tc>
          <w:tcPr>
            <w:tcW w:w="121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36.0</w:t>
            </w:r>
          </w:p>
        </w:tc>
        <w:tc>
          <w:tcPr>
            <w:tcW w:w="751"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p>
        </w:tc>
        <w:tc>
          <w:tcPr>
            <w:tcW w:w="1000"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16726</w:t>
            </w:r>
            <w:r>
              <w:rPr>
                <w:rFonts w:hint="eastAsia" w:cs="等线"/>
                <w:bCs/>
                <w:sz w:val="15"/>
                <w:szCs w:val="21"/>
                <w:vertAlign w:val="superscript"/>
                <w:lang w:bidi="ar"/>
              </w:rPr>
              <w:t>c</w:t>
            </w:r>
          </w:p>
        </w:tc>
        <w:tc>
          <w:tcPr>
            <w:tcW w:w="1374"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660"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其他固体生物量</w:t>
            </w:r>
          </w:p>
        </w:tc>
        <w:tc>
          <w:tcPr>
            <w:tcW w:w="1215"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32.0</w:t>
            </w:r>
          </w:p>
        </w:tc>
        <w:tc>
          <w:tcPr>
            <w:tcW w:w="751"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100</w:t>
            </w:r>
          </w:p>
        </w:tc>
        <w:tc>
          <w:tcPr>
            <w:tcW w:w="1000"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23000</w:t>
            </w:r>
            <w:r>
              <w:rPr>
                <w:rFonts w:hint="eastAsia" w:cs="等线"/>
                <w:bCs/>
                <w:sz w:val="15"/>
                <w:szCs w:val="21"/>
                <w:vertAlign w:val="superscript"/>
                <w:lang w:bidi="ar"/>
              </w:rPr>
              <w:t>d</w:t>
            </w:r>
          </w:p>
        </w:tc>
        <w:tc>
          <w:tcPr>
            <w:tcW w:w="1374" w:type="pct"/>
            <w:noWrap w:val="0"/>
            <w:vAlign w:val="center"/>
          </w:tcPr>
          <w:p>
            <w:pPr>
              <w:spacing w:line="240" w:lineRule="auto"/>
              <w:jc w:val="center"/>
              <w:textAlignment w:val="bottom"/>
              <w:rPr>
                <w:rFonts w:cs="等线"/>
                <w:bCs/>
                <w:sz w:val="15"/>
                <w:szCs w:val="21"/>
                <w:lang w:bidi="ar"/>
              </w:rPr>
            </w:pPr>
            <w:r>
              <w:rPr>
                <w:rFonts w:hint="eastAsia" w:cs="等线"/>
                <w:bCs/>
                <w:sz w:val="15"/>
                <w:szCs w:val="21"/>
                <w:lang w:bidi="ar"/>
              </w:rPr>
              <w:t>2.70</w:t>
            </w:r>
          </w:p>
        </w:tc>
      </w:tr>
    </w:tbl>
    <w:p>
      <w:pPr>
        <w:spacing w:line="240" w:lineRule="auto"/>
        <w:rPr>
          <w:bCs/>
          <w:sz w:val="15"/>
          <w:szCs w:val="15"/>
        </w:rPr>
      </w:pPr>
      <w:r>
        <w:rPr>
          <w:rFonts w:hint="eastAsia" w:cs="等线 Light"/>
          <w:sz w:val="15"/>
          <w:szCs w:val="21"/>
        </w:rPr>
        <w:t>注：</w:t>
      </w:r>
      <w:r>
        <w:rPr>
          <w:b/>
          <w:bCs/>
          <w:sz w:val="15"/>
          <w:szCs w:val="15"/>
        </w:rPr>
        <w:t>1</w:t>
      </w:r>
      <w:r>
        <w:rPr>
          <w:rFonts w:hint="eastAsia"/>
          <w:sz w:val="15"/>
          <w:szCs w:val="15"/>
        </w:rPr>
        <w:t xml:space="preserve"> </w:t>
      </w:r>
      <w:r>
        <w:rPr>
          <w:sz w:val="15"/>
          <w:szCs w:val="15"/>
        </w:rPr>
        <w:t xml:space="preserve"> 本表格</w:t>
      </w:r>
      <w:r>
        <w:rPr>
          <w:rFonts w:cs="等线"/>
          <w:bCs/>
          <w:sz w:val="15"/>
          <w:szCs w:val="21"/>
          <w:lang w:bidi="ar"/>
        </w:rPr>
        <w:t>来源于</w:t>
      </w:r>
      <w:r>
        <w:rPr>
          <w:rFonts w:hint="eastAsia" w:cs="等线"/>
          <w:bCs/>
          <w:sz w:val="15"/>
          <w:szCs w:val="21"/>
          <w:lang w:bidi="ar"/>
        </w:rPr>
        <w:t>《组织的温室气体排放量化和报告指南》SZDB/Z 69</w:t>
      </w:r>
      <w:r>
        <w:rPr>
          <w:rFonts w:hint="eastAsia"/>
          <w:bCs/>
          <w:sz w:val="15"/>
          <w:szCs w:val="15"/>
        </w:rPr>
        <w:t>；</w:t>
      </w:r>
    </w:p>
    <w:p>
      <w:pPr>
        <w:spacing w:line="240" w:lineRule="auto"/>
        <w:ind w:firstLine="301" w:firstLineChars="200"/>
        <w:jc w:val="left"/>
        <w:textAlignment w:val="center"/>
        <w:rPr>
          <w:rFonts w:cs="等线 Light"/>
          <w:sz w:val="15"/>
          <w:szCs w:val="21"/>
        </w:rPr>
      </w:pPr>
      <w:r>
        <w:rPr>
          <w:b/>
          <w:bCs/>
          <w:sz w:val="15"/>
          <w:szCs w:val="15"/>
        </w:rPr>
        <w:t>2</w:t>
      </w:r>
      <w:r>
        <w:rPr>
          <w:rFonts w:hint="eastAsia"/>
          <w:sz w:val="15"/>
          <w:szCs w:val="15"/>
        </w:rPr>
        <w:t xml:space="preserve"> </w:t>
      </w:r>
      <w:r>
        <w:rPr>
          <w:sz w:val="15"/>
          <w:szCs w:val="15"/>
        </w:rPr>
        <w:t xml:space="preserve"> </w:t>
      </w:r>
      <w:r>
        <w:rPr>
          <w:rFonts w:hint="eastAsia" w:cs="等线"/>
          <w:bCs/>
          <w:sz w:val="15"/>
          <w:szCs w:val="21"/>
          <w:vertAlign w:val="superscript"/>
          <w:lang w:bidi="ar"/>
        </w:rPr>
        <w:t>a</w:t>
      </w:r>
      <w:r>
        <w:rPr>
          <w:rFonts w:hint="eastAsia" w:cs="等线"/>
          <w:bCs/>
          <w:sz w:val="15"/>
          <w:szCs w:val="21"/>
          <w:lang w:bidi="ar"/>
        </w:rPr>
        <w:t>含碳量数据来源于《2006年IPCC国家温室气体清单指南》第2卷表2.3，经过换算得到；</w:t>
      </w:r>
    </w:p>
    <w:p>
      <w:pPr>
        <w:spacing w:line="240" w:lineRule="auto"/>
        <w:ind w:firstLine="301" w:firstLineChars="200"/>
        <w:jc w:val="left"/>
        <w:textAlignment w:val="center"/>
        <w:rPr>
          <w:rFonts w:cs="等线 Light"/>
          <w:sz w:val="15"/>
          <w:szCs w:val="21"/>
        </w:rPr>
      </w:pPr>
      <w:r>
        <w:rPr>
          <w:rFonts w:hint="eastAsia"/>
          <w:b/>
          <w:bCs/>
          <w:sz w:val="15"/>
          <w:szCs w:val="15"/>
        </w:rPr>
        <w:t>3</w:t>
      </w:r>
      <w:r>
        <w:rPr>
          <w:rFonts w:hint="eastAsia"/>
          <w:sz w:val="15"/>
          <w:szCs w:val="15"/>
        </w:rPr>
        <w:t xml:space="preserve"> </w:t>
      </w:r>
      <w:r>
        <w:rPr>
          <w:sz w:val="15"/>
          <w:szCs w:val="15"/>
        </w:rPr>
        <w:t xml:space="preserve"> </w:t>
      </w:r>
      <w:r>
        <w:rPr>
          <w:rFonts w:hint="eastAsia" w:cs="等线"/>
          <w:bCs/>
          <w:sz w:val="15"/>
          <w:szCs w:val="21"/>
          <w:vertAlign w:val="superscript"/>
          <w:lang w:bidi="ar"/>
        </w:rPr>
        <w:t>b</w:t>
      </w:r>
      <w:r>
        <w:rPr>
          <w:rFonts w:hint="eastAsia" w:cs="等线"/>
          <w:bCs/>
          <w:sz w:val="15"/>
          <w:szCs w:val="21"/>
          <w:lang w:bidi="ar"/>
        </w:rPr>
        <w:t>《省级温室气体清单编制指南》表1.7中无该燃料的碳氧化率数据，取缺省值100%；</w:t>
      </w:r>
    </w:p>
    <w:p>
      <w:pPr>
        <w:spacing w:line="240" w:lineRule="auto"/>
        <w:ind w:firstLine="301" w:firstLineChars="200"/>
        <w:jc w:val="left"/>
        <w:textAlignment w:val="center"/>
        <w:rPr>
          <w:rFonts w:cs="等线 Light"/>
          <w:sz w:val="15"/>
          <w:szCs w:val="21"/>
        </w:rPr>
      </w:pPr>
      <w:r>
        <w:rPr>
          <w:rFonts w:hint="eastAsia"/>
          <w:b/>
          <w:bCs/>
          <w:sz w:val="15"/>
          <w:szCs w:val="15"/>
        </w:rPr>
        <w:t>4</w:t>
      </w:r>
      <w:r>
        <w:rPr>
          <w:rFonts w:hint="eastAsia"/>
          <w:sz w:val="15"/>
          <w:szCs w:val="15"/>
        </w:rPr>
        <w:t xml:space="preserve"> </w:t>
      </w:r>
      <w:r>
        <w:rPr>
          <w:sz w:val="15"/>
          <w:szCs w:val="15"/>
        </w:rPr>
        <w:t xml:space="preserve"> </w:t>
      </w:r>
      <w:r>
        <w:rPr>
          <w:rFonts w:hint="eastAsia" w:cs="等线"/>
          <w:bCs/>
          <w:sz w:val="15"/>
          <w:szCs w:val="21"/>
          <w:vertAlign w:val="superscript"/>
          <w:lang w:bidi="ar"/>
        </w:rPr>
        <w:t>c</w:t>
      </w:r>
      <w:r>
        <w:rPr>
          <w:rFonts w:hint="eastAsia" w:cs="等线"/>
          <w:bCs/>
          <w:sz w:val="15"/>
          <w:szCs w:val="21"/>
          <w:lang w:bidi="ar"/>
        </w:rPr>
        <w:t>“木材/废木材”热值数据来源于《中国能源统计年鉴（2016年）》附录；</w:t>
      </w:r>
    </w:p>
    <w:p>
      <w:pPr>
        <w:spacing w:line="240" w:lineRule="auto"/>
        <w:ind w:firstLine="301" w:firstLineChars="200"/>
        <w:jc w:val="left"/>
        <w:textAlignment w:val="center"/>
        <w:rPr>
          <w:rFonts w:cs="等线 Light"/>
          <w:sz w:val="15"/>
          <w:szCs w:val="21"/>
        </w:rPr>
      </w:pPr>
      <w:r>
        <w:rPr>
          <w:rFonts w:hint="eastAsia"/>
          <w:b/>
          <w:bCs/>
          <w:sz w:val="15"/>
          <w:szCs w:val="15"/>
        </w:rPr>
        <w:t>5</w:t>
      </w:r>
      <w:r>
        <w:rPr>
          <w:rFonts w:hint="eastAsia"/>
          <w:sz w:val="15"/>
          <w:szCs w:val="15"/>
        </w:rPr>
        <w:t xml:space="preserve"> </w:t>
      </w:r>
      <w:r>
        <w:rPr>
          <w:sz w:val="15"/>
          <w:szCs w:val="15"/>
        </w:rPr>
        <w:t xml:space="preserve"> </w:t>
      </w:r>
      <w:r>
        <w:rPr>
          <w:rFonts w:hint="eastAsia" w:cs="等线"/>
          <w:bCs/>
          <w:sz w:val="15"/>
          <w:szCs w:val="21"/>
          <w:vertAlign w:val="superscript"/>
          <w:lang w:bidi="ar"/>
        </w:rPr>
        <w:t>d</w:t>
      </w:r>
      <w:r>
        <w:rPr>
          <w:rFonts w:hint="eastAsia" w:cs="等线"/>
          <w:bCs/>
          <w:sz w:val="15"/>
          <w:szCs w:val="21"/>
          <w:lang w:bidi="ar"/>
        </w:rPr>
        <w:t>“其他固体生物量”热值数据来源于《2006年IPCC国家温室气体清单指南》第2卷表1.2，经过单位转换得到。</w:t>
      </w:r>
    </w:p>
    <w:p>
      <w:pPr>
        <w:widowControl/>
        <w:spacing w:line="240" w:lineRule="auto"/>
        <w:jc w:val="left"/>
        <w:rPr>
          <w:rFonts w:cs="等线"/>
          <w:bCs/>
          <w:sz w:val="15"/>
          <w:szCs w:val="21"/>
          <w:lang w:bidi="ar"/>
        </w:rPr>
      </w:pPr>
      <w:r>
        <w:rPr>
          <w:rFonts w:cs="等线"/>
          <w:bCs/>
          <w:sz w:val="15"/>
          <w:szCs w:val="21"/>
          <w:lang w:bidi="ar"/>
        </w:rPr>
        <w:br w:type="page"/>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3</w:t>
      </w:r>
      <w:r>
        <w:rPr>
          <w:rFonts w:hint="eastAsia"/>
          <w:szCs w:val="21"/>
        </w:rPr>
        <w:t xml:space="preserve"> </w:t>
      </w:r>
      <w:r>
        <w:rPr>
          <w:szCs w:val="21"/>
        </w:rPr>
        <w:t xml:space="preserve"> </w:t>
      </w:r>
      <w:bookmarkStart w:id="354" w:name="OLE_LINK90"/>
      <w:bookmarkStart w:id="355" w:name="OLE_LINK89"/>
      <w:r>
        <w:rPr>
          <w:szCs w:val="21"/>
        </w:rPr>
        <w:t>电网碳排放因子</w:t>
      </w:r>
    </w:p>
    <w:p>
      <w:pPr>
        <w:spacing w:line="240" w:lineRule="auto"/>
        <w:ind w:firstLine="421" w:firstLineChars="200"/>
        <w:rPr>
          <w:szCs w:val="21"/>
        </w:rPr>
      </w:pPr>
      <w:bookmarkStart w:id="356" w:name="OLE_LINK95"/>
      <w:bookmarkStart w:id="357" w:name="OLE_LINK96"/>
      <w:r>
        <w:rPr>
          <w:b/>
          <w:bCs/>
          <w:szCs w:val="21"/>
        </w:rPr>
        <w:t>1</w:t>
      </w:r>
      <w:r>
        <w:rPr>
          <w:rFonts w:hint="eastAsia"/>
          <w:szCs w:val="21"/>
        </w:rPr>
        <w:t xml:space="preserve"> </w:t>
      </w:r>
      <w:r>
        <w:rPr>
          <w:szCs w:val="21"/>
        </w:rPr>
        <w:t xml:space="preserve"> </w:t>
      </w:r>
      <w:r>
        <w:rPr>
          <w:rFonts w:hint="eastAsia"/>
          <w:szCs w:val="21"/>
        </w:rPr>
        <w:t>区域电网碳排放因子表</w:t>
      </w:r>
      <w:bookmarkEnd w:id="354"/>
      <w:bookmarkEnd w:id="355"/>
    </w:p>
    <w:bookmarkEnd w:id="356"/>
    <w:bookmarkEnd w:id="357"/>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816"/>
        <w:gridCol w:w="58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37" w:type="pct"/>
            <w:noWrap w:val="0"/>
            <w:vAlign w:val="center"/>
          </w:tcPr>
          <w:p>
            <w:pPr>
              <w:spacing w:line="240" w:lineRule="auto"/>
              <w:jc w:val="center"/>
              <w:textAlignment w:val="center"/>
              <w:rPr>
                <w:rFonts w:cs="等线 Light"/>
                <w:bCs/>
                <w:sz w:val="15"/>
                <w:szCs w:val="21"/>
              </w:rPr>
            </w:pPr>
            <w:r>
              <w:rPr>
                <w:rFonts w:cs="等线 Light"/>
                <w:bCs/>
                <w:sz w:val="15"/>
                <w:szCs w:val="21"/>
              </w:rPr>
              <w:t>电网名称</w:t>
            </w:r>
          </w:p>
        </w:tc>
        <w:tc>
          <w:tcPr>
            <w:tcW w:w="958" w:type="pct"/>
            <w:noWrap w:val="0"/>
            <w:vAlign w:val="center"/>
          </w:tcPr>
          <w:p>
            <w:pPr>
              <w:spacing w:line="240" w:lineRule="auto"/>
              <w:jc w:val="center"/>
              <w:textAlignment w:val="center"/>
              <w:rPr>
                <w:rFonts w:cs="等线 Light"/>
                <w:bCs/>
                <w:sz w:val="15"/>
                <w:szCs w:val="21"/>
              </w:rPr>
            </w:pPr>
            <w:r>
              <w:rPr>
                <w:rFonts w:hint="eastAsia" w:cs="等线 Light"/>
                <w:bCs/>
                <w:sz w:val="15"/>
                <w:szCs w:val="21"/>
              </w:rPr>
              <w:t>电力碳排放因子</w:t>
            </w:r>
          </w:p>
          <w:p>
            <w:pPr>
              <w:spacing w:line="240" w:lineRule="auto"/>
              <w:jc w:val="center"/>
              <w:textAlignment w:val="center"/>
              <w:rPr>
                <w:rFonts w:cs="等线 Light"/>
                <w:bCs/>
                <w:sz w:val="15"/>
                <w:szCs w:val="21"/>
              </w:rPr>
            </w:pPr>
            <w:r>
              <w:rPr>
                <w:rFonts w:hint="eastAsia" w:cs="等线 Light"/>
                <w:bCs/>
                <w:sz w:val="15"/>
                <w:szCs w:val="21"/>
              </w:rPr>
              <w:t>平均值</w:t>
            </w:r>
          </w:p>
          <w:p>
            <w:pPr>
              <w:spacing w:line="240" w:lineRule="auto"/>
              <w:jc w:val="center"/>
              <w:textAlignment w:val="center"/>
              <w:rPr>
                <w:rFonts w:cs="等线 Light"/>
                <w:bCs/>
                <w:sz w:val="15"/>
                <w:szCs w:val="21"/>
              </w:rPr>
            </w:pPr>
            <w:r>
              <w:rPr>
                <w:rFonts w:cs="等线 Light"/>
                <w:bCs/>
                <w:sz w:val="15"/>
                <w:szCs w:val="21"/>
              </w:rPr>
              <w:t>（</w:t>
            </w:r>
            <w:r>
              <w:rPr>
                <w:rFonts w:hint="eastAsia" w:cs="等线 Light"/>
                <w:bCs/>
                <w:sz w:val="15"/>
                <w:szCs w:val="21"/>
              </w:rPr>
              <w:t>t</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/MWh</w:t>
            </w:r>
            <w:r>
              <w:rPr>
                <w:rFonts w:cs="等线 Light"/>
                <w:bCs/>
                <w:sz w:val="15"/>
                <w:szCs w:val="21"/>
              </w:rPr>
              <w:t>）</w:t>
            </w:r>
          </w:p>
        </w:tc>
        <w:tc>
          <w:tcPr>
            <w:tcW w:w="3105" w:type="pct"/>
            <w:noWrap w:val="0"/>
            <w:vAlign w:val="center"/>
          </w:tcPr>
          <w:p>
            <w:pPr>
              <w:spacing w:line="240" w:lineRule="auto"/>
              <w:jc w:val="center"/>
              <w:textAlignment w:val="center"/>
              <w:rPr>
                <w:rFonts w:cs="等线 Light"/>
                <w:bCs/>
                <w:sz w:val="15"/>
                <w:szCs w:val="21"/>
              </w:rPr>
            </w:pPr>
            <w:r>
              <w:rPr>
                <w:rFonts w:hint="eastAsia" w:cs="等线 Light"/>
                <w:bCs/>
                <w:sz w:val="15"/>
                <w:szCs w:val="21"/>
              </w:rPr>
              <w:t>覆盖省市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hint="eastAsia" w:cs="等线 Light"/>
                <w:sz w:val="15"/>
                <w:szCs w:val="21"/>
              </w:rPr>
              <w:t>华北区域电网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0.6185</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北京市、天津市、河北省、山西省、山东省、内蒙古自治区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东北区域电网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0.6271</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辽宁省、吉林省、黑龙江省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华东区域电网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0.4867</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上海市、江苏省、浙江省、安徽省、福建省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华中区域电网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0.5734</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河南省、湖北省、湖南省、江西省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西北区域电网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0.6306</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陕西省、甘肃省、青海省、宁夏回族自治区、新疆维吾尔自治区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南方区域电网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0.4860</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广东省、广西壮族自治区</w:t>
            </w:r>
            <w:bookmarkStart w:id="395" w:name="_GoBack"/>
            <w:bookmarkEnd w:id="395"/>
            <w:r>
              <w:rPr>
                <w:rFonts w:hint="eastAsia" w:cs="等线 Light"/>
                <w:sz w:val="15"/>
                <w:szCs w:val="21"/>
              </w:rPr>
              <w:t>、云南省、贵州省、海南省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7" w:type="pct"/>
            <w:noWrap w:val="0"/>
            <w:vAlign w:val="center"/>
          </w:tcPr>
          <w:p>
            <w:pPr>
              <w:spacing w:line="240" w:lineRule="auto"/>
              <w:jc w:val="center"/>
              <w:textAlignment w:val="center"/>
              <w:rPr>
                <w:rFonts w:cs="等线 Light"/>
                <w:sz w:val="15"/>
                <w:szCs w:val="21"/>
              </w:rPr>
            </w:pPr>
            <w:r>
              <w:rPr>
                <w:rFonts w:cs="等线 Light"/>
                <w:sz w:val="15"/>
                <w:szCs w:val="21"/>
              </w:rPr>
              <w:t>西南区域电网</w:t>
            </w:r>
          </w:p>
        </w:tc>
        <w:tc>
          <w:tcPr>
            <w:tcW w:w="958" w:type="pct"/>
            <w:noWrap w:val="0"/>
            <w:vAlign w:val="center"/>
          </w:tcPr>
          <w:p>
            <w:pPr>
              <w:spacing w:line="240" w:lineRule="auto"/>
              <w:jc w:val="center"/>
              <w:textAlignment w:val="center"/>
              <w:rPr>
                <w:rFonts w:cs="等线 Light"/>
                <w:sz w:val="15"/>
                <w:szCs w:val="21"/>
              </w:rPr>
            </w:pPr>
            <w:r>
              <w:rPr>
                <w:rFonts w:cs="等线 Light"/>
                <w:sz w:val="15"/>
                <w:szCs w:val="21"/>
              </w:rPr>
              <w:t>0.3297</w:t>
            </w:r>
          </w:p>
        </w:tc>
        <w:tc>
          <w:tcPr>
            <w:tcW w:w="3105" w:type="pct"/>
            <w:noWrap w:val="0"/>
            <w:vAlign w:val="center"/>
          </w:tcPr>
          <w:p>
            <w:pPr>
              <w:spacing w:line="240" w:lineRule="auto"/>
              <w:jc w:val="center"/>
              <w:textAlignment w:val="center"/>
              <w:rPr>
                <w:rFonts w:cs="等线 Light"/>
                <w:sz w:val="15"/>
                <w:szCs w:val="21"/>
              </w:rPr>
            </w:pPr>
            <w:r>
              <w:rPr>
                <w:rFonts w:hint="eastAsia" w:cs="等线 Light"/>
                <w:sz w:val="15"/>
                <w:szCs w:val="21"/>
              </w:rPr>
              <w:t>四川省、重庆市</w:t>
            </w:r>
          </w:p>
        </w:tc>
      </w:tr>
    </w:tbl>
    <w:p>
      <w:pPr>
        <w:spacing w:line="240" w:lineRule="auto"/>
        <w:rPr>
          <w:bCs/>
          <w:sz w:val="15"/>
          <w:szCs w:val="15"/>
        </w:rPr>
      </w:pPr>
      <w:r>
        <w:rPr>
          <w:rFonts w:hint="eastAsia" w:cs="等线 Light"/>
          <w:sz w:val="15"/>
          <w:szCs w:val="21"/>
        </w:rPr>
        <w:t>注：</w:t>
      </w:r>
      <w:r>
        <w:rPr>
          <w:b/>
          <w:bCs/>
          <w:sz w:val="15"/>
          <w:szCs w:val="15"/>
        </w:rPr>
        <w:t>1</w:t>
      </w:r>
      <w:r>
        <w:rPr>
          <w:rFonts w:hint="eastAsia"/>
          <w:sz w:val="15"/>
          <w:szCs w:val="15"/>
        </w:rPr>
        <w:t xml:space="preserve"> </w:t>
      </w:r>
      <w:r>
        <w:rPr>
          <w:sz w:val="15"/>
          <w:szCs w:val="15"/>
        </w:rPr>
        <w:t xml:space="preserve"> 本表格</w:t>
      </w:r>
      <w:r>
        <w:rPr>
          <w:rFonts w:hint="eastAsia" w:cs="等线 Light"/>
          <w:sz w:val="15"/>
          <w:szCs w:val="21"/>
        </w:rPr>
        <w:t>来源于2023 年减排项目中国区域电网基准线排放因子</w:t>
      </w:r>
      <w:r>
        <w:rPr>
          <w:rFonts w:hint="eastAsia"/>
          <w:bCs/>
          <w:sz w:val="15"/>
          <w:szCs w:val="15"/>
        </w:rPr>
        <w:t>；</w:t>
      </w:r>
    </w:p>
    <w:p>
      <w:pPr>
        <w:spacing w:line="240" w:lineRule="auto"/>
        <w:ind w:firstLine="301" w:firstLineChars="200"/>
        <w:jc w:val="left"/>
        <w:textAlignment w:val="center"/>
        <w:rPr>
          <w:rFonts w:cs="等线"/>
          <w:bCs/>
          <w:sz w:val="15"/>
          <w:szCs w:val="21"/>
          <w:lang w:bidi="ar"/>
        </w:rPr>
      </w:pPr>
      <w:r>
        <w:rPr>
          <w:rFonts w:hint="eastAsia"/>
          <w:b/>
          <w:bCs/>
          <w:sz w:val="15"/>
          <w:szCs w:val="15"/>
        </w:rPr>
        <w:t>2</w:t>
      </w:r>
      <w:r>
        <w:rPr>
          <w:rFonts w:hint="eastAsia"/>
          <w:sz w:val="15"/>
          <w:szCs w:val="15"/>
        </w:rPr>
        <w:t xml:space="preserve"> </w:t>
      </w:r>
      <w:r>
        <w:rPr>
          <w:sz w:val="15"/>
          <w:szCs w:val="15"/>
        </w:rPr>
        <w:t xml:space="preserve"> </w:t>
      </w:r>
      <w:r>
        <w:rPr>
          <w:rFonts w:hint="eastAsia" w:cs="等线 Light"/>
          <w:sz w:val="15"/>
          <w:szCs w:val="21"/>
        </w:rPr>
        <w:t>本结果以公开的上网电厂的汇总数据为基准计算得出</w:t>
      </w:r>
      <w:r>
        <w:rPr>
          <w:rFonts w:hint="eastAsia" w:cs="等线"/>
          <w:bCs/>
          <w:sz w:val="15"/>
          <w:szCs w:val="21"/>
          <w:lang w:bidi="ar"/>
        </w:rPr>
        <w:t>。</w:t>
      </w:r>
    </w:p>
    <w:p>
      <w:pPr>
        <w:spacing w:line="240" w:lineRule="auto"/>
        <w:ind w:firstLine="421" w:firstLineChars="200"/>
        <w:rPr>
          <w:szCs w:val="21"/>
        </w:rPr>
      </w:pPr>
      <w:r>
        <w:rPr>
          <w:rFonts w:hint="eastAsia"/>
          <w:b/>
          <w:bCs/>
          <w:szCs w:val="21"/>
        </w:rPr>
        <w:t>2</w:t>
      </w:r>
      <w:r>
        <w:rPr>
          <w:rFonts w:hint="eastAsia"/>
          <w:szCs w:val="21"/>
        </w:rPr>
        <w:t xml:space="preserve"> </w:t>
      </w:r>
      <w:r>
        <w:rPr>
          <w:szCs w:val="21"/>
        </w:rPr>
        <w:t xml:space="preserve"> </w:t>
      </w:r>
      <w:r>
        <w:rPr>
          <w:rFonts w:hint="eastAsia"/>
          <w:szCs w:val="21"/>
        </w:rPr>
        <w:t>广东省电力碳排放因子表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89"/>
        <w:gridCol w:w="47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73" w:type="pct"/>
            <w:noWrap w:val="0"/>
            <w:vAlign w:val="center"/>
          </w:tcPr>
          <w:p>
            <w:pPr>
              <w:spacing w:line="240" w:lineRule="auto"/>
              <w:jc w:val="center"/>
              <w:textAlignment w:val="center"/>
              <w:rPr>
                <w:rFonts w:cs="等线 Light"/>
                <w:bCs/>
                <w:sz w:val="15"/>
                <w:szCs w:val="21"/>
              </w:rPr>
            </w:pPr>
            <w:r>
              <w:rPr>
                <w:rFonts w:cs="等线 Light"/>
                <w:bCs/>
                <w:sz w:val="15"/>
                <w:szCs w:val="21"/>
              </w:rPr>
              <w:t>电网名称</w:t>
            </w:r>
          </w:p>
        </w:tc>
        <w:tc>
          <w:tcPr>
            <w:tcW w:w="2527" w:type="pct"/>
            <w:noWrap w:val="0"/>
            <w:vAlign w:val="center"/>
          </w:tcPr>
          <w:p>
            <w:pPr>
              <w:spacing w:line="240" w:lineRule="auto"/>
              <w:jc w:val="center"/>
              <w:textAlignment w:val="center"/>
              <w:rPr>
                <w:rFonts w:cs="等线 Light"/>
                <w:bCs/>
                <w:sz w:val="15"/>
                <w:szCs w:val="21"/>
              </w:rPr>
            </w:pPr>
            <w:r>
              <w:rPr>
                <w:rFonts w:hint="eastAsia" w:cs="等线 Light"/>
                <w:bCs/>
                <w:sz w:val="15"/>
                <w:szCs w:val="21"/>
              </w:rPr>
              <w:t>电力碳排放因子平均值</w:t>
            </w:r>
          </w:p>
          <w:p>
            <w:pPr>
              <w:spacing w:line="240" w:lineRule="auto"/>
              <w:jc w:val="center"/>
              <w:textAlignment w:val="center"/>
              <w:rPr>
                <w:rFonts w:cs="等线 Light"/>
                <w:bCs/>
                <w:sz w:val="15"/>
                <w:szCs w:val="21"/>
              </w:rPr>
            </w:pPr>
            <w:r>
              <w:rPr>
                <w:rFonts w:cs="等线 Light"/>
                <w:bCs/>
                <w:sz w:val="15"/>
                <w:szCs w:val="21"/>
              </w:rPr>
              <w:t>（</w:t>
            </w:r>
            <w:r>
              <w:rPr>
                <w:rFonts w:hint="eastAsia" w:cs="等线 Light"/>
                <w:bCs/>
                <w:sz w:val="15"/>
                <w:szCs w:val="21"/>
              </w:rPr>
              <w:t>t</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/MWh</w:t>
            </w:r>
            <w:r>
              <w:rPr>
                <w:rFonts w:cs="等线 Light"/>
                <w:bCs/>
                <w:sz w:val="15"/>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73" w:type="pct"/>
            <w:noWrap w:val="0"/>
            <w:vAlign w:val="center"/>
          </w:tcPr>
          <w:p>
            <w:pPr>
              <w:spacing w:line="240" w:lineRule="auto"/>
              <w:jc w:val="center"/>
              <w:textAlignment w:val="center"/>
              <w:rPr>
                <w:rFonts w:cs="等线 Light"/>
                <w:sz w:val="15"/>
                <w:szCs w:val="21"/>
              </w:rPr>
            </w:pPr>
            <w:r>
              <w:rPr>
                <w:rFonts w:hint="eastAsia" w:cs="等线 Light"/>
                <w:sz w:val="15"/>
                <w:szCs w:val="21"/>
              </w:rPr>
              <w:t>广东省</w:t>
            </w:r>
          </w:p>
        </w:tc>
        <w:tc>
          <w:tcPr>
            <w:tcW w:w="2527" w:type="pct"/>
            <w:noWrap w:val="0"/>
            <w:vAlign w:val="center"/>
          </w:tcPr>
          <w:p>
            <w:pPr>
              <w:spacing w:line="240" w:lineRule="auto"/>
              <w:jc w:val="center"/>
              <w:textAlignment w:val="center"/>
              <w:rPr>
                <w:rFonts w:cs="等线 Light"/>
                <w:sz w:val="15"/>
                <w:szCs w:val="21"/>
              </w:rPr>
            </w:pPr>
            <w:r>
              <w:rPr>
                <w:rFonts w:cs="等线 Light"/>
                <w:sz w:val="15"/>
                <w:szCs w:val="21"/>
              </w:rPr>
              <w:t>0.6</w:t>
            </w:r>
            <w:r>
              <w:rPr>
                <w:rFonts w:hint="eastAsia" w:cs="等线 Light"/>
                <w:sz w:val="15"/>
                <w:szCs w:val="21"/>
              </w:rPr>
              <w:t>379</w:t>
            </w:r>
          </w:p>
        </w:tc>
      </w:tr>
    </w:tbl>
    <w:p>
      <w:pPr>
        <w:spacing w:line="240" w:lineRule="auto"/>
        <w:rPr>
          <w:bCs/>
          <w:sz w:val="15"/>
          <w:szCs w:val="15"/>
        </w:rPr>
      </w:pPr>
      <w:r>
        <w:rPr>
          <w:rFonts w:hint="eastAsia" w:cs="等线 Light"/>
          <w:sz w:val="15"/>
          <w:szCs w:val="21"/>
        </w:rPr>
        <w:t>注：</w:t>
      </w:r>
      <w:r>
        <w:rPr>
          <w:sz w:val="15"/>
          <w:szCs w:val="15"/>
        </w:rPr>
        <w:t>本表格</w:t>
      </w:r>
      <w:r>
        <w:rPr>
          <w:rFonts w:hint="eastAsia" w:cs="等线 Light"/>
          <w:sz w:val="15"/>
          <w:szCs w:val="21"/>
        </w:rPr>
        <w:t>来源于《广东省企业（单位）二氧化碳排放信息报告指南（2022年修订）》</w:t>
      </w:r>
      <w:r>
        <w:rPr>
          <w:rFonts w:hint="eastAsia"/>
          <w:bCs/>
          <w:sz w:val="15"/>
          <w:szCs w:val="15"/>
        </w:rPr>
        <w:t>。</w:t>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4</w:t>
      </w:r>
      <w:r>
        <w:rPr>
          <w:rFonts w:hint="eastAsia"/>
          <w:szCs w:val="21"/>
        </w:rPr>
        <w:t xml:space="preserve"> </w:t>
      </w:r>
      <w:r>
        <w:rPr>
          <w:szCs w:val="21"/>
        </w:rPr>
        <w:t xml:space="preserve"> </w:t>
      </w:r>
      <w:r>
        <w:rPr>
          <w:rFonts w:hint="eastAsia"/>
          <w:szCs w:val="21"/>
        </w:rPr>
        <w:t>材料碳排放因子表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5"/>
        <w:gridCol w:w="3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315" w:type="pct"/>
            <w:noWrap w:val="0"/>
            <w:vAlign w:val="center"/>
          </w:tcPr>
          <w:p>
            <w:pPr>
              <w:spacing w:line="240" w:lineRule="auto"/>
              <w:jc w:val="center"/>
              <w:textAlignment w:val="center"/>
              <w:rPr>
                <w:rFonts w:cs="等线 Light"/>
                <w:bCs/>
                <w:sz w:val="15"/>
                <w:szCs w:val="21"/>
              </w:rPr>
            </w:pPr>
            <w:bookmarkStart w:id="358" w:name="_Hlk172275338"/>
            <w:r>
              <w:rPr>
                <w:rFonts w:hint="eastAsia" w:cs="等线 Light"/>
                <w:bCs/>
                <w:sz w:val="15"/>
                <w:szCs w:val="21"/>
                <w:lang w:bidi="ar"/>
              </w:rPr>
              <w:t>材料类别</w:t>
            </w:r>
          </w:p>
        </w:tc>
        <w:tc>
          <w:tcPr>
            <w:tcW w:w="1685" w:type="pct"/>
            <w:noWrap w:val="0"/>
            <w:vAlign w:val="center"/>
          </w:tcPr>
          <w:p>
            <w:pPr>
              <w:spacing w:line="240" w:lineRule="auto"/>
              <w:jc w:val="center"/>
              <w:textAlignment w:val="center"/>
              <w:rPr>
                <w:rFonts w:cs="等线 Light"/>
                <w:bCs/>
                <w:sz w:val="15"/>
                <w:szCs w:val="21"/>
              </w:rPr>
            </w:pPr>
            <w:r>
              <w:rPr>
                <w:rFonts w:hint="eastAsia" w:cs="等线 Light"/>
                <w:bCs/>
                <w:sz w:val="15"/>
                <w:szCs w:val="21"/>
                <w:lang w:bidi="ar"/>
              </w:rPr>
              <w:t>材料碳排放因子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普通硅酸盐水泥（市场平均）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735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bookmarkEnd w:id="35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C30混凝土</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295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C50混凝土</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385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石灰生产（市场平均）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1190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消石灰（熟石灰，氢氧化钙）</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747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天然石膏</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32.8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砂（</w:t>
            </w:r>
            <w:r>
              <w:rPr>
                <w:rStyle w:val="42"/>
                <w:rFonts w:hint="default" w:ascii="Times New Roman" w:hAnsi="Times New Roman" w:eastAsia="宋体" w:cs="等线 Light"/>
                <w:i/>
                <w:color w:val="auto"/>
                <w:sz w:val="15"/>
                <w:szCs w:val="21"/>
                <w:lang w:bidi="ar"/>
              </w:rPr>
              <w:t>f</w:t>
            </w:r>
            <w:r>
              <w:rPr>
                <w:rStyle w:val="42"/>
                <w:rFonts w:hint="default" w:ascii="Times New Roman" w:hAnsi="Times New Roman" w:eastAsia="宋体" w:cs="等线 Light"/>
                <w:color w:val="auto"/>
                <w:sz w:val="15"/>
                <w:szCs w:val="21"/>
                <w:lang w:bidi="ar"/>
              </w:rPr>
              <w:t>=1.6</w:t>
            </w:r>
            <w:r>
              <w:rPr>
                <w:rFonts w:cs="等线 Light"/>
                <w:bCs/>
                <w:sz w:val="15"/>
                <w:szCs w:val="21"/>
                <w:lang w:bidi="ar"/>
              </w:rPr>
              <w:t>～</w:t>
            </w:r>
            <w:r>
              <w:rPr>
                <w:rFonts w:hint="eastAsia" w:cs="等线 Light"/>
                <w:bCs/>
                <w:sz w:val="15"/>
                <w:szCs w:val="21"/>
                <w:lang w:bidi="ar"/>
              </w:rPr>
              <w:t>3.0</w:t>
            </w:r>
            <w:r>
              <w:rPr>
                <w:rStyle w:val="42"/>
                <w:rFonts w:hint="default" w:ascii="Times New Roman" w:hAnsi="Times New Roman" w:eastAsia="宋体" w:cs="等线 Light"/>
                <w:color w:val="auto"/>
                <w:sz w:val="15"/>
                <w:szCs w:val="21"/>
                <w:lang w:bidi="ar"/>
              </w:rPr>
              <w:t>）</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2.51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碎石（</w:t>
            </w:r>
            <w:r>
              <w:rPr>
                <w:rStyle w:val="42"/>
                <w:rFonts w:hint="default" w:ascii="Times New Roman" w:hAnsi="Times New Roman" w:eastAsia="宋体" w:cs="等线 Light"/>
                <w:i/>
                <w:color w:val="auto"/>
                <w:sz w:val="15"/>
                <w:szCs w:val="21"/>
                <w:lang w:bidi="ar"/>
              </w:rPr>
              <w:t>d</w:t>
            </w:r>
            <w:r>
              <w:rPr>
                <w:rStyle w:val="42"/>
                <w:rFonts w:hint="default" w:ascii="Times New Roman" w:hAnsi="Times New Roman" w:eastAsia="宋体" w:cs="等线 Light"/>
                <w:color w:val="auto"/>
                <w:sz w:val="15"/>
                <w:szCs w:val="21"/>
                <w:lang w:bidi="ar"/>
              </w:rPr>
              <w:t>=10mm</w:t>
            </w:r>
            <w:r>
              <w:rPr>
                <w:rFonts w:cs="等线 Light"/>
                <w:bCs/>
                <w:sz w:val="15"/>
                <w:szCs w:val="21"/>
                <w:lang w:bidi="ar"/>
              </w:rPr>
              <w:t>～</w:t>
            </w:r>
            <w:r>
              <w:rPr>
                <w:rFonts w:hint="eastAsia" w:cs="等线 Light"/>
                <w:bCs/>
                <w:sz w:val="15"/>
                <w:szCs w:val="21"/>
                <w:lang w:bidi="ar"/>
              </w:rPr>
              <w:t>30mm</w:t>
            </w:r>
            <w:r>
              <w:rPr>
                <w:rStyle w:val="42"/>
                <w:rFonts w:hint="default" w:ascii="Times New Roman" w:hAnsi="Times New Roman" w:eastAsia="宋体" w:cs="等线 Light"/>
                <w:color w:val="auto"/>
                <w:sz w:val="15"/>
                <w:szCs w:val="21"/>
                <w:lang w:bidi="ar"/>
              </w:rPr>
              <w:t>）</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2.18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页岩石</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5.08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黏土</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2.69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混凝土砖（</w:t>
            </w:r>
            <w:r>
              <w:rPr>
                <w:rFonts w:cs="等线 Light"/>
                <w:sz w:val="15"/>
                <w:szCs w:val="21"/>
                <w:lang w:bidi="ar"/>
              </w:rPr>
              <w:t>240mm</w:t>
            </w:r>
            <w:r>
              <w:rPr>
                <w:rFonts w:hint="eastAsia" w:cs="等线 Light"/>
                <w:sz w:val="15"/>
                <w:szCs w:val="21"/>
                <w:lang w:bidi="ar"/>
              </w:rPr>
              <w:t>×</w:t>
            </w:r>
            <w:r>
              <w:rPr>
                <w:rFonts w:cs="等线 Light"/>
                <w:sz w:val="15"/>
                <w:szCs w:val="21"/>
                <w:lang w:bidi="ar"/>
              </w:rPr>
              <w:t>115mm</w:t>
            </w:r>
            <w:r>
              <w:rPr>
                <w:rFonts w:hint="eastAsia" w:cs="等线 Light"/>
                <w:sz w:val="15"/>
                <w:szCs w:val="21"/>
                <w:lang w:bidi="ar"/>
              </w:rPr>
              <w:t>×</w:t>
            </w:r>
            <w:r>
              <w:rPr>
                <w:rFonts w:cs="等线 Light"/>
                <w:sz w:val="15"/>
                <w:szCs w:val="21"/>
                <w:lang w:bidi="ar"/>
              </w:rPr>
              <w:t>90mm</w:t>
            </w:r>
            <w:r>
              <w:rPr>
                <w:rFonts w:hint="eastAsia" w:cs="等线 Light"/>
                <w:sz w:val="15"/>
                <w:szCs w:val="21"/>
                <w:lang w:bidi="ar"/>
              </w:rPr>
              <w:t>）</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336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4</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5"/>
        <w:gridCol w:w="3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lang w:bidi="ar"/>
              </w:rPr>
            </w:pPr>
            <w:r>
              <w:rPr>
                <w:rFonts w:hint="eastAsia" w:cs="等线 Light"/>
                <w:bCs/>
                <w:sz w:val="15"/>
                <w:szCs w:val="21"/>
                <w:lang w:bidi="ar"/>
              </w:rPr>
              <w:t>材料类别</w:t>
            </w:r>
          </w:p>
        </w:tc>
        <w:tc>
          <w:tcPr>
            <w:tcW w:w="1685" w:type="pct"/>
            <w:noWrap w:val="0"/>
            <w:vAlign w:val="center"/>
          </w:tcPr>
          <w:p>
            <w:pPr>
              <w:spacing w:line="240" w:lineRule="auto"/>
              <w:jc w:val="center"/>
              <w:textAlignment w:val="center"/>
              <w:rPr>
                <w:rStyle w:val="42"/>
                <w:rFonts w:hint="default" w:ascii="Times New Roman" w:hAnsi="Times New Roman" w:eastAsia="宋体" w:cs="等线 Light"/>
                <w:color w:val="auto"/>
                <w:sz w:val="15"/>
                <w:szCs w:val="21"/>
                <w:lang w:bidi="ar"/>
              </w:rPr>
            </w:pPr>
            <w:r>
              <w:rPr>
                <w:rFonts w:hint="eastAsia" w:cs="等线 Light"/>
                <w:bCs/>
                <w:sz w:val="15"/>
                <w:szCs w:val="21"/>
                <w:lang w:bidi="ar"/>
              </w:rPr>
              <w:t>材料碳排放因子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页岩空心砖（240mm×115mm×53mm）</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204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黏土空心砖（240mm×115mm×53mm）</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煤矸石实心砖（240mm×115mm×53mm，90%掺入量）</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22.8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煤矸石空心砖（240mm×115mm×53mm，90%掺入量）</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16.0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炼钢生铁</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1700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铸造生铁</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2280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炼钢用铁合金（市场平均）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9530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转炉碳钢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1990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电炉碳钢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3030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普通碳钢（市场平均）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2050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热轧碳钢小型型钢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热轧碳钢中型型钢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2365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热轧碳钢大型轨梁（方圆坯、管坯）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2340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热轧碳钢大型轨梁（重轨、普通型钢）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热轧碳钢中厚板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2400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热轧碳钢H钢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热轧碳钢宽带钢</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热轧碳钢钢筋</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2340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热轧碳钢高线材</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2375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热轧碳钢棒材</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2340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螺旋埋弧焊管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大口径埋弧焊直缝钢管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2430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焊接直缝钢管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热轧碳钢无缝钢管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3150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冷轧冷拔碳钢无缝钢管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3680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碳钢热镀锌板卷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3110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碳钢电镀锌板卷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3020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4</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5"/>
        <w:gridCol w:w="31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lang w:bidi="ar"/>
              </w:rPr>
            </w:pPr>
            <w:r>
              <w:rPr>
                <w:rFonts w:hint="eastAsia" w:cs="等线 Light"/>
                <w:bCs/>
                <w:sz w:val="15"/>
                <w:szCs w:val="21"/>
                <w:lang w:bidi="ar"/>
              </w:rPr>
              <w:t>材料类别</w:t>
            </w:r>
          </w:p>
        </w:tc>
        <w:tc>
          <w:tcPr>
            <w:tcW w:w="1685" w:type="pct"/>
            <w:noWrap w:val="0"/>
            <w:vAlign w:val="center"/>
          </w:tcPr>
          <w:p>
            <w:pPr>
              <w:spacing w:line="240" w:lineRule="auto"/>
              <w:jc w:val="center"/>
              <w:textAlignment w:val="center"/>
              <w:rPr>
                <w:rStyle w:val="42"/>
                <w:rFonts w:hint="default" w:ascii="Times New Roman" w:hAnsi="Times New Roman" w:eastAsia="宋体" w:cs="等线 Light"/>
                <w:color w:val="auto"/>
                <w:sz w:val="15"/>
                <w:szCs w:val="21"/>
                <w:lang w:bidi="ar"/>
              </w:rPr>
            </w:pPr>
            <w:r>
              <w:rPr>
                <w:rFonts w:hint="eastAsia" w:cs="等线 Light"/>
                <w:bCs/>
                <w:sz w:val="15"/>
                <w:szCs w:val="21"/>
                <w:lang w:bidi="ar"/>
              </w:rPr>
              <w:t>材料碳排放因子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碳钢电镀锡板卷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2870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酸洗板卷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1730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冷轧碳钢板卷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2530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冷硬碳钢板卷</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2410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平板玻璃</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1130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电解铝（全国平均电网电力）</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20300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铝板带</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28500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无规共聚聚丙烯管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3.72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聚乙烯管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3.60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硬聚氯乙烯管</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7.93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聚苯乙烯泡沫板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5020 kgCO</w:t>
            </w:r>
            <w:r>
              <w:rPr>
                <w:rStyle w:val="43"/>
                <w:rFonts w:hint="default" w:ascii="Times New Roman" w:hAnsi="Times New Roman" w:eastAsia="宋体" w:cs="等线 Light"/>
                <w:color w:val="auto"/>
                <w:sz w:val="15"/>
                <w:szCs w:val="21"/>
                <w:lang w:bidi="ar"/>
              </w:rPr>
              <w:t>2e</w:t>
            </w:r>
            <w:r>
              <w:rPr>
                <w:rStyle w:val="43"/>
                <w:rFonts w:hint="default" w:ascii="Times New Roman" w:hAnsi="Times New Roman" w:eastAsia="宋体" w:cs="等线 Light"/>
                <w:color w:val="auto"/>
                <w:sz w:val="15"/>
                <w:szCs w:val="21"/>
                <w:vertAlign w:val="baseline"/>
                <w:lang w:bidi="ar"/>
              </w:rPr>
              <w:t>/</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岩棉板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1980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硬泡聚氨酯板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5220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铝塑复合板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8.06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铜塑复合板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37.1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铜单板</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218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/m</w:t>
            </w:r>
            <w:r>
              <w:rPr>
                <w:rFonts w:hint="eastAsia" w:cs="等线 Light"/>
                <w:sz w:val="15"/>
                <w:szCs w:val="21"/>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普通聚苯乙烯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4620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线性低密度聚乙烯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1990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高密度聚乙烯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2620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低密度聚乙烯</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2810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聚氯乙烯（市场平均）</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7300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15" w:type="pct"/>
            <w:noWrap w:val="0"/>
            <w:vAlign w:val="center"/>
          </w:tcPr>
          <w:p>
            <w:pPr>
              <w:spacing w:line="240" w:lineRule="auto"/>
              <w:jc w:val="center"/>
              <w:textAlignment w:val="center"/>
              <w:rPr>
                <w:rFonts w:cs="等线 Light"/>
                <w:sz w:val="15"/>
                <w:szCs w:val="21"/>
              </w:rPr>
            </w:pPr>
            <w:r>
              <w:rPr>
                <w:rFonts w:hint="eastAsia" w:cs="等线 Light"/>
                <w:sz w:val="15"/>
                <w:szCs w:val="21"/>
                <w:lang w:bidi="ar"/>
              </w:rPr>
              <w:t>自来水</w:t>
            </w:r>
          </w:p>
        </w:tc>
        <w:tc>
          <w:tcPr>
            <w:tcW w:w="1685" w:type="pct"/>
            <w:noWrap w:val="0"/>
            <w:vAlign w:val="center"/>
          </w:tcPr>
          <w:p>
            <w:pPr>
              <w:spacing w:line="240" w:lineRule="auto"/>
              <w:jc w:val="center"/>
              <w:textAlignment w:val="center"/>
              <w:rPr>
                <w:rFonts w:cs="等线 Light"/>
                <w:sz w:val="15"/>
                <w:szCs w:val="21"/>
              </w:rPr>
            </w:pPr>
            <w:r>
              <w:rPr>
                <w:rStyle w:val="42"/>
                <w:rFonts w:hint="default" w:ascii="Times New Roman" w:hAnsi="Times New Roman" w:eastAsia="宋体" w:cs="等线 Light"/>
                <w:color w:val="auto"/>
                <w:sz w:val="15"/>
                <w:szCs w:val="21"/>
                <w:lang w:bidi="ar"/>
              </w:rPr>
              <w:t>0.168 kgCO</w:t>
            </w:r>
            <w:r>
              <w:rPr>
                <w:rStyle w:val="43"/>
                <w:rFonts w:hint="default" w:ascii="Times New Roman" w:hAnsi="Times New Roman" w:eastAsia="宋体" w:cs="等线 Light"/>
                <w:color w:val="auto"/>
                <w:sz w:val="15"/>
                <w:szCs w:val="21"/>
                <w:lang w:bidi="ar"/>
              </w:rPr>
              <w:t>2e</w:t>
            </w:r>
            <w:r>
              <w:rPr>
                <w:rStyle w:val="42"/>
                <w:rFonts w:hint="default" w:ascii="Times New Roman" w:hAnsi="Times New Roman" w:eastAsia="宋体" w:cs="等线 Light"/>
                <w:color w:val="auto"/>
                <w:sz w:val="15"/>
                <w:szCs w:val="21"/>
                <w:lang w:bidi="ar"/>
              </w:rPr>
              <w:t>/t</w:t>
            </w:r>
          </w:p>
        </w:tc>
      </w:tr>
    </w:tbl>
    <w:p>
      <w:pPr>
        <w:spacing w:line="240" w:lineRule="auto"/>
        <w:jc w:val="left"/>
        <w:textAlignment w:val="center"/>
        <w:rPr>
          <w:rFonts w:cs="等线 Light"/>
          <w:sz w:val="15"/>
          <w:szCs w:val="21"/>
          <w:lang w:bidi="ar"/>
        </w:rPr>
      </w:pPr>
      <w:r>
        <w:rPr>
          <w:rFonts w:hint="eastAsia" w:cs="等线 Light"/>
          <w:sz w:val="15"/>
          <w:szCs w:val="21"/>
          <w:lang w:bidi="ar"/>
        </w:rPr>
        <w:t>注：本表格来源于《</w:t>
      </w:r>
      <w:bookmarkStart w:id="359" w:name="OLE_LINK55"/>
      <w:bookmarkStart w:id="360" w:name="OLE_LINK54"/>
      <w:r>
        <w:rPr>
          <w:rFonts w:hint="eastAsia" w:cs="等线 Light"/>
          <w:sz w:val="15"/>
          <w:szCs w:val="21"/>
          <w:lang w:bidi="ar"/>
        </w:rPr>
        <w:t>建筑碳排放计算标准</w:t>
      </w:r>
      <w:bookmarkEnd w:id="359"/>
      <w:bookmarkEnd w:id="360"/>
      <w:r>
        <w:rPr>
          <w:rFonts w:hint="eastAsia" w:cs="等线 Light"/>
          <w:sz w:val="15"/>
          <w:szCs w:val="21"/>
          <w:lang w:bidi="ar"/>
        </w:rPr>
        <w:t>》GB/T 51366。</w:t>
      </w:r>
    </w:p>
    <w:p>
      <w:pPr>
        <w:widowControl/>
        <w:spacing w:line="240" w:lineRule="auto"/>
        <w:jc w:val="left"/>
        <w:rPr>
          <w:b/>
          <w:bCs/>
          <w:szCs w:val="21"/>
        </w:rPr>
      </w:pPr>
      <w:r>
        <w:rPr>
          <w:b/>
          <w:bCs/>
          <w:szCs w:val="21"/>
        </w:rPr>
        <w:br w:type="page"/>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5</w:t>
      </w:r>
      <w:r>
        <w:rPr>
          <w:rFonts w:hint="eastAsia"/>
          <w:szCs w:val="21"/>
        </w:rPr>
        <w:t xml:space="preserve"> </w:t>
      </w:r>
      <w:r>
        <w:rPr>
          <w:szCs w:val="21"/>
        </w:rPr>
        <w:t xml:space="preserve"> 其他</w:t>
      </w:r>
      <w:r>
        <w:rPr>
          <w:rFonts w:hint="eastAsia"/>
          <w:szCs w:val="21"/>
        </w:rPr>
        <w:t>材料碳排放因子表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49" w:type="pct"/>
            <w:noWrap w:val="0"/>
            <w:vAlign w:val="center"/>
          </w:tcPr>
          <w:p>
            <w:pPr>
              <w:spacing w:line="240" w:lineRule="auto"/>
              <w:jc w:val="center"/>
              <w:textAlignment w:val="center"/>
              <w:rPr>
                <w:rFonts w:cs="等线 Light"/>
                <w:bCs/>
                <w:sz w:val="15"/>
                <w:szCs w:val="21"/>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HPB300钢筋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HRB400钢筋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冷轧带肋钢筋网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环氧HPB300钢筋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环氧HRB400钢筋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预应力粗钢筋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钢绞线成品束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钢绞线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普通，无松弛</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环氧钢绞线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镀锌钢绞线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混合规格（7股，19股，1.0-134.2mm</w:t>
            </w:r>
            <w:r>
              <w:rPr>
                <w:rFonts w:cs="等线 Light"/>
                <w:bCs/>
                <w:sz w:val="15"/>
                <w:szCs w:val="21"/>
                <w:vertAlign w:val="superscript"/>
                <w:lang w:bidi="ar"/>
              </w:rPr>
              <w:t>2</w:t>
            </w:r>
            <w:r>
              <w:rPr>
                <w:rFonts w:cs="等线 Light"/>
                <w:bCs/>
                <w:sz w:val="15"/>
                <w:szCs w:val="21"/>
                <w:lang w:bidi="ar"/>
              </w:rPr>
              <w:t>）</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冷拔低碳钢丝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高强钢丝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镀锌高强钢丝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平行钢丝斜拉索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钢绞线斜拉索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主缆索股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吊索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钢丝绳</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股丝6-7</w:t>
            </w:r>
            <w:r>
              <w:rPr>
                <w:rFonts w:hint="eastAsia" w:cs="等线 Light"/>
                <w:sz w:val="15"/>
                <w:szCs w:val="21"/>
                <w:lang w:bidi="ar"/>
              </w:rPr>
              <w:t>×</w:t>
            </w:r>
            <w:r>
              <w:rPr>
                <w:rFonts w:hint="eastAsia" w:cs="等线 Light"/>
                <w:bCs/>
                <w:sz w:val="15"/>
                <w:szCs w:val="21"/>
                <w:lang w:bidi="ar"/>
              </w:rPr>
              <w:t>19，绳径7.1-9.0mm；股丝6</w:t>
            </w:r>
            <w:r>
              <w:rPr>
                <w:rFonts w:hint="eastAsia" w:cs="等线 Light"/>
                <w:sz w:val="15"/>
                <w:szCs w:val="21"/>
                <w:lang w:bidi="ar"/>
              </w:rPr>
              <w:t>×</w:t>
            </w:r>
            <w:r>
              <w:rPr>
                <w:rFonts w:hint="eastAsia" w:cs="等线 Light"/>
                <w:bCs/>
                <w:sz w:val="15"/>
                <w:szCs w:val="21"/>
                <w:lang w:bidi="ar"/>
              </w:rPr>
              <w:t>37，绳径14.1-15.5mm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钢纤维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8～12号铁丝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20～22号铁丝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刺铁丝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电焊网排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钢板网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1.845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铁丝编织网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8750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镀锌高强钢丝绳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3319.5</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格栅网</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柔性防护网，S0/2.2/50</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钢绳网</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柔性防护网，D0/08/300钢丝网</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猫道编织网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3.5</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缆索</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圆丝编织网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镀锌铁丝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索道钢丝绳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系杆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成品索</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波纹管钢带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0.25</w:t>
            </w:r>
            <w:r>
              <w:rPr>
                <w:rFonts w:hint="eastAsia" w:cs="等线 Light"/>
                <w:sz w:val="15"/>
                <w:szCs w:val="21"/>
                <w:lang w:bidi="ar"/>
              </w:rPr>
              <w:t>×</w:t>
            </w:r>
            <w:r>
              <w:rPr>
                <w:rFonts w:cs="等线 Light"/>
                <w:bCs/>
                <w:sz w:val="15"/>
                <w:szCs w:val="21"/>
                <w:lang w:bidi="ar"/>
              </w:rPr>
              <w:t>36</w:t>
            </w:r>
            <w:r>
              <w:rPr>
                <w:rFonts w:hint="eastAsia" w:cs="等线 Light"/>
                <w:bCs/>
                <w:sz w:val="15"/>
                <w:szCs w:val="21"/>
                <w:lang w:bidi="ar"/>
              </w:rPr>
              <w:t>、</w:t>
            </w:r>
            <w:r>
              <w:rPr>
                <w:rFonts w:cs="等线 Light"/>
                <w:bCs/>
                <w:sz w:val="15"/>
                <w:szCs w:val="21"/>
                <w:lang w:bidi="ar"/>
              </w:rPr>
              <w:t>0.28</w:t>
            </w:r>
            <w:r>
              <w:rPr>
                <w:rFonts w:hint="eastAsia" w:cs="等线 Light"/>
                <w:sz w:val="15"/>
                <w:szCs w:val="21"/>
                <w:lang w:bidi="ar"/>
              </w:rPr>
              <w:t>×</w:t>
            </w:r>
            <w:r>
              <w:rPr>
                <w:rFonts w:cs="等线 Light"/>
                <w:bCs/>
                <w:sz w:val="15"/>
                <w:szCs w:val="21"/>
                <w:lang w:bidi="ar"/>
              </w:rPr>
              <w:t>36</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紧缆钢带</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型钢</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工字钢</w:t>
            </w:r>
            <w:r>
              <w:rPr>
                <w:rFonts w:hint="eastAsia" w:cs="等线 Light"/>
                <w:bCs/>
                <w:sz w:val="15"/>
                <w:szCs w:val="21"/>
                <w:lang w:bidi="ar"/>
              </w:rPr>
              <w:t>，</w:t>
            </w:r>
            <w:r>
              <w:rPr>
                <w:rFonts w:cs="等线 Light"/>
                <w:bCs/>
                <w:sz w:val="15"/>
                <w:szCs w:val="21"/>
                <w:lang w:bidi="ar"/>
              </w:rPr>
              <w:t>角钢</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A3，δ=5～40mm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圆钢</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6～36混合型号</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钢轨</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重轨、轻轨、吊车轨</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无缝钢管</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镀锌钢管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外径15mm～200mm，壁厚2.75mm～4.5mm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承插式铸铁管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压制弯头</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各种规格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镀锌钢板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δ=1，δ=1.5，δ=3</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支座预埋钢板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钢管立柱</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型钢立柱</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镀锌（包括斜撑）</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波形钢板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镀锌（包括端头板、撑架）</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托架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钢桥面板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钢板桩</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钢管桩</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直径219～2440mm，壁厚5～20mm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钢护筒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钢套箱</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钢壳沉井</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钢模板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各类定型大块钢模板</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组合钢模板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门式钢支架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安全爬梯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钢格栅</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索鞍构件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悬吊系统构件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套管及拉杆构件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钢纵横梁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钢箱梁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钢锚箱</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钢塔</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钢管拱肋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铸铁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钢丸</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吊顶轻钢龙骨</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4.2m/kg</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铁皮</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26号镀锌铁皮</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钢拉带</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活动地板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钢管立柱（叠合柱）</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（D100cm以上）</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整装波形钢管涵（</w:t>
            </w:r>
            <w:r>
              <w:rPr>
                <w:rFonts w:hint="eastAsia" w:cs="等线"/>
                <w:sz w:val="15"/>
                <w:szCs w:val="21"/>
                <w:lang w:bidi="ar"/>
              </w:rPr>
              <w:t>Φ</w:t>
            </w:r>
            <w:r>
              <w:rPr>
                <w:rFonts w:cs="等线 Light"/>
                <w:bCs/>
                <w:sz w:val="15"/>
                <w:szCs w:val="21"/>
                <w:lang w:bidi="ar"/>
              </w:rPr>
              <w:t>150cm）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7148.21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31016.08</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bookmarkStart w:id="361" w:name="_Hlk172299256"/>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bookmarkEnd w:id="36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整装波形钢管涵（</w:t>
            </w:r>
            <w:r>
              <w:rPr>
                <w:rFonts w:hint="eastAsia" w:cs="等线"/>
                <w:sz w:val="15"/>
                <w:szCs w:val="21"/>
                <w:lang w:bidi="ar"/>
              </w:rPr>
              <w:t>Φ</w:t>
            </w:r>
            <w:r>
              <w:rPr>
                <w:rFonts w:cs="等线 Light"/>
                <w:bCs/>
                <w:sz w:val="15"/>
                <w:szCs w:val="21"/>
                <w:lang w:bidi="ar"/>
              </w:rPr>
              <w:t>250cm）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12078.01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52406.49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拼装波形钢管涵（</w:t>
            </w:r>
            <w:r>
              <w:rPr>
                <w:rFonts w:hint="eastAsia" w:cs="等线"/>
                <w:sz w:val="15"/>
                <w:szCs w:val="21"/>
                <w:lang w:bidi="ar"/>
              </w:rPr>
              <w:t>Φ</w:t>
            </w:r>
            <w:r>
              <w:rPr>
                <w:rFonts w:cs="等线 Light"/>
                <w:bCs/>
                <w:sz w:val="15"/>
                <w:szCs w:val="21"/>
                <w:lang w:bidi="ar"/>
              </w:rPr>
              <w:t>300cm）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14542.91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63101.69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拼装波形钢管涵（</w:t>
            </w:r>
            <w:r>
              <w:rPr>
                <w:rFonts w:hint="eastAsia" w:cs="等线"/>
                <w:sz w:val="15"/>
                <w:szCs w:val="21"/>
                <w:lang w:bidi="ar"/>
              </w:rPr>
              <w:t>Φ</w:t>
            </w:r>
            <w:r>
              <w:rPr>
                <w:rFonts w:cs="等线 Light"/>
                <w:bCs/>
                <w:sz w:val="15"/>
                <w:szCs w:val="21"/>
                <w:lang w:bidi="ar"/>
              </w:rPr>
              <w:t>400cm）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19472.71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84492.09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拼装波形钢管涵（</w:t>
            </w:r>
            <w:r>
              <w:rPr>
                <w:rFonts w:hint="eastAsia" w:cs="等线"/>
                <w:sz w:val="15"/>
                <w:szCs w:val="21"/>
                <w:lang w:bidi="ar"/>
              </w:rPr>
              <w:t>Φ</w:t>
            </w:r>
            <w:r>
              <w:rPr>
                <w:rFonts w:cs="等线 Light"/>
                <w:bCs/>
                <w:sz w:val="15"/>
                <w:szCs w:val="21"/>
                <w:lang w:bidi="ar"/>
              </w:rPr>
              <w:t>600cm）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29332.31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127272.89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工具吊杆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张拉杆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钢花管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不锈钢管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不锈钢板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不锈钢滑板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钢钎</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=22-25mm，长1.8-2m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空心钢钎</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优质碳素工具钢</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50mm以内合金钻头</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43</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hint="eastAsia" w:cs="等线 Light"/>
                <w:bCs/>
                <w:sz w:val="15"/>
                <w:szCs w:val="21"/>
                <w:lang w:bidi="ar"/>
              </w:rPr>
              <w:t>1</w:t>
            </w:r>
            <w:r>
              <w:rPr>
                <w:rFonts w:cs="等线 Light"/>
                <w:bCs/>
                <w:sz w:val="15"/>
                <w:szCs w:val="21"/>
                <w:lang w:bidi="ar"/>
              </w:rPr>
              <w:t>50mm以内合金钻头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4.82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hint="eastAsia" w:cs="等线 Light"/>
                <w:bCs/>
                <w:sz w:val="15"/>
                <w:szCs w:val="21"/>
                <w:lang w:bidi="ar"/>
              </w:rPr>
              <w:t>1</w:t>
            </w:r>
            <w:r>
              <w:rPr>
                <w:rFonts w:cs="等线 Light"/>
                <w:bCs/>
                <w:sz w:val="15"/>
                <w:szCs w:val="21"/>
                <w:lang w:bidi="ar"/>
              </w:rPr>
              <w:t>50mm以内合金取芯钻头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4.82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钻杆</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50、</w:t>
            </w:r>
            <w:r>
              <w:rPr>
                <w:rFonts w:hint="eastAsia" w:cs="等线"/>
                <w:sz w:val="15"/>
                <w:szCs w:val="21"/>
                <w:lang w:bidi="ar"/>
              </w:rPr>
              <w:t>Φ</w:t>
            </w:r>
            <w:r>
              <w:rPr>
                <w:rFonts w:cs="等线 Light"/>
                <w:bCs/>
                <w:sz w:val="15"/>
                <w:szCs w:val="21"/>
                <w:lang w:bidi="ar"/>
              </w:rPr>
              <w:t>73、</w:t>
            </w:r>
            <w:r>
              <w:rPr>
                <w:rFonts w:hint="eastAsia" w:cs="等线"/>
                <w:sz w:val="15"/>
                <w:szCs w:val="21"/>
                <w:lang w:bidi="ar"/>
              </w:rPr>
              <w:t>Φ</w:t>
            </w:r>
            <w:r>
              <w:rPr>
                <w:rFonts w:cs="等线 Light"/>
                <w:bCs/>
                <w:sz w:val="15"/>
                <w:szCs w:val="21"/>
                <w:lang w:bidi="ar"/>
              </w:rPr>
              <w:t>89、</w:t>
            </w:r>
            <w:r>
              <w:rPr>
                <w:rFonts w:hint="eastAsia" w:cs="等线"/>
                <w:sz w:val="15"/>
                <w:szCs w:val="21"/>
                <w:lang w:bidi="ar"/>
              </w:rPr>
              <w:t>Φ</w:t>
            </w:r>
            <w:r>
              <w:rPr>
                <w:rFonts w:cs="等线 Light"/>
                <w:bCs/>
                <w:sz w:val="15"/>
                <w:szCs w:val="21"/>
                <w:lang w:bidi="ar"/>
              </w:rPr>
              <w:t>114长1m</w:t>
            </w:r>
            <w:r>
              <w:rPr>
                <w:rFonts w:hint="eastAsia" w:cs="等线 Light"/>
                <w:bCs/>
                <w:sz w:val="15"/>
                <w:szCs w:val="21"/>
                <w:lang w:bidi="ar"/>
              </w:rPr>
              <w:t>、</w:t>
            </w:r>
            <w:r>
              <w:rPr>
                <w:rFonts w:cs="等线 Light"/>
                <w:bCs/>
                <w:sz w:val="15"/>
                <w:szCs w:val="21"/>
                <w:lang w:bidi="ar"/>
              </w:rPr>
              <w:t>1.5m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中空注浆锚杆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自进式锚杆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R25，R27，R32，R38，R51</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钢绳锚杆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电焊条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结422（502、506、507）3.2/4.0/5.0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钢筋连接套筒</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16-40mm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膨胀螺栓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0.186</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镀锌膨胀螺栓</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镀锌法兰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索夹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阻尼器</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液体粘滞阻尼器</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自动排气阀</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DN25</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螺纹截止阀</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J11t-16DN20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法兰阀门（DN80）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29.1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109.27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法兰阀门（DN100）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法兰阀门（DN150）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法兰阀门（DN200）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525.70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锚链</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37～58</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铁件</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铁件</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镀锌铁件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铁钉</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混合规格</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滑动槽</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铸铁箅子</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铸铁管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U形锚钉</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冲击器</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偏心冲击锤</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89mm全破碎复合片钻头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127mm全破碎复合片钻头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破碎锤钢钎</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根</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铣挖机刀头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73mm复合片取芯钻头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127mm金刚石取芯钻头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镀锌扁铁</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金刚石薄壁钻头</w:t>
            </w:r>
            <w:r>
              <w:rPr>
                <w:rFonts w:hint="eastAsia" w:cs="等线"/>
                <w:sz w:val="15"/>
                <w:szCs w:val="21"/>
                <w:lang w:bidi="ar"/>
              </w:rPr>
              <w:t>Φ</w:t>
            </w:r>
            <w:r>
              <w:rPr>
                <w:rFonts w:cs="等线 Light"/>
                <w:bCs/>
                <w:sz w:val="15"/>
                <w:szCs w:val="21"/>
                <w:lang w:bidi="ar"/>
              </w:rPr>
              <w:t>100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金刚石薄壁钻头</w:t>
            </w:r>
            <w:r>
              <w:rPr>
                <w:rFonts w:hint="eastAsia" w:cs="等线"/>
                <w:sz w:val="15"/>
                <w:szCs w:val="21"/>
                <w:lang w:bidi="ar"/>
              </w:rPr>
              <w:t>Φ</w:t>
            </w:r>
            <w:r>
              <w:rPr>
                <w:rFonts w:cs="等线 Light"/>
                <w:bCs/>
                <w:sz w:val="15"/>
                <w:szCs w:val="21"/>
                <w:lang w:bidi="ar"/>
              </w:rPr>
              <w:t>200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150.20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金刚石薄壁钻头</w:t>
            </w:r>
            <w:r>
              <w:rPr>
                <w:rFonts w:hint="eastAsia" w:cs="等线"/>
                <w:sz w:val="15"/>
                <w:szCs w:val="21"/>
                <w:lang w:bidi="ar"/>
              </w:rPr>
              <w:t>Φ</w:t>
            </w:r>
            <w:r>
              <w:rPr>
                <w:rFonts w:cs="等线 Light"/>
                <w:bCs/>
                <w:sz w:val="15"/>
                <w:szCs w:val="21"/>
                <w:lang w:bidi="ar"/>
              </w:rPr>
              <w:t>300</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225.30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高强螺栓</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20mm以内冲击钻头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30mm以内冲击钻头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40mm以内冲击钻头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链条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锯片</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砂轮片</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片</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磁粉</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电焊丝</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钢管脚手及扣件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对拉螺栓</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钢丝刷</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石油沥青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174.24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改性沥青</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SBS、SBR、SR复合</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295.91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235.08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乳化沥青</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阳离子类乳化沥青、阳离子类乳化改性沥青、阴离子类乳化改性沥青</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改性乳化沥青</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重油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聚四氟乙烯滑板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聚四氟乙烯滑块</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4.62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胶管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绝缘橡胶板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δ10-12</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氯化乳胶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3.36</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聚丙烯纤维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聚丙烯晴纤维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三维植被网</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EM2、EM3、EM4、EM5</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塑料防水板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厚1.2mm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橡胶防水板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塑料板盲沟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PVC塑料管（</w:t>
            </w:r>
            <w:r>
              <w:rPr>
                <w:rFonts w:hint="eastAsia" w:cs="等线"/>
                <w:sz w:val="15"/>
                <w:szCs w:val="21"/>
                <w:lang w:bidi="ar"/>
              </w:rPr>
              <w:t>Φ</w:t>
            </w:r>
            <w:r>
              <w:rPr>
                <w:rFonts w:cs="等线 Light"/>
                <w:bCs/>
                <w:sz w:val="15"/>
                <w:szCs w:val="21"/>
                <w:lang w:bidi="ar"/>
              </w:rPr>
              <w:t>50mm）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0.77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PVC塑料管（</w:t>
            </w:r>
            <w:r>
              <w:rPr>
                <w:rFonts w:hint="eastAsia" w:cs="等线"/>
                <w:sz w:val="15"/>
                <w:szCs w:val="21"/>
                <w:lang w:bidi="ar"/>
              </w:rPr>
              <w:t>Φ</w:t>
            </w:r>
            <w:r>
              <w:rPr>
                <w:rFonts w:cs="等线 Light"/>
                <w:bCs/>
                <w:sz w:val="15"/>
                <w:szCs w:val="21"/>
                <w:lang w:bidi="ar"/>
              </w:rPr>
              <w:t>100mm）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PVC塑料管（</w:t>
            </w:r>
            <w:r>
              <w:rPr>
                <w:rFonts w:hint="eastAsia" w:cs="等线"/>
                <w:sz w:val="15"/>
                <w:szCs w:val="21"/>
                <w:lang w:bidi="ar"/>
              </w:rPr>
              <w:t>Φ</w:t>
            </w:r>
            <w:r>
              <w:rPr>
                <w:rFonts w:cs="等线 Light"/>
                <w:bCs/>
                <w:sz w:val="15"/>
                <w:szCs w:val="21"/>
                <w:lang w:bidi="ar"/>
              </w:rPr>
              <w:t>160mm）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PVC阻燃塑料管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塑料软管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塑料弹簧软管（</w:t>
            </w:r>
            <w:r>
              <w:rPr>
                <w:rFonts w:hint="eastAsia" w:cs="等线"/>
                <w:sz w:val="15"/>
                <w:szCs w:val="21"/>
                <w:lang w:bidi="ar"/>
              </w:rPr>
              <w:t>Φ</w:t>
            </w:r>
            <w:r>
              <w:rPr>
                <w:rFonts w:cs="等线 Light"/>
                <w:bCs/>
                <w:sz w:val="15"/>
                <w:szCs w:val="21"/>
                <w:lang w:bidi="ar"/>
              </w:rPr>
              <w:t>50mm）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0.77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塑料弹簧软管（</w:t>
            </w:r>
            <w:r>
              <w:rPr>
                <w:rFonts w:hint="eastAsia" w:cs="等线"/>
                <w:sz w:val="15"/>
                <w:szCs w:val="21"/>
                <w:lang w:bidi="ar"/>
              </w:rPr>
              <w:t>Φ</w:t>
            </w:r>
            <w:r>
              <w:rPr>
                <w:rFonts w:cs="等线 Light"/>
                <w:bCs/>
                <w:sz w:val="15"/>
                <w:szCs w:val="21"/>
                <w:lang w:bidi="ar"/>
              </w:rPr>
              <w:t>80mm）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塑料弹簧软管（</w:t>
            </w:r>
            <w:r>
              <w:rPr>
                <w:rFonts w:hint="eastAsia" w:cs="等线"/>
                <w:sz w:val="15"/>
                <w:szCs w:val="21"/>
                <w:lang w:bidi="ar"/>
              </w:rPr>
              <w:t>Φ</w:t>
            </w:r>
            <w:r>
              <w:rPr>
                <w:rFonts w:cs="等线 Light"/>
                <w:bCs/>
                <w:sz w:val="15"/>
                <w:szCs w:val="21"/>
                <w:lang w:bidi="ar"/>
              </w:rPr>
              <w:t>110mm）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88.7364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200mm以内双壁波纹管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187.3324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300mm以内双壁波纹管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285.9284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400mm以内双壁波纹管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384.5244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218.79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500mm以内双壁波纹管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483.1204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600mm以内双壁波纹管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581.7164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700mm以内双壁波纹管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680.3124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800mm以内双壁波纹管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778.9084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900mm以内双壁波纹管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877.5044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499.3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1000mm以内双壁波纹管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976.1004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塑料打孔波纹管（</w:t>
            </w:r>
            <w:r>
              <w:rPr>
                <w:rFonts w:hint="eastAsia" w:cs="等线"/>
                <w:sz w:val="15"/>
                <w:szCs w:val="21"/>
                <w:lang w:bidi="ar"/>
              </w:rPr>
              <w:t>Φ</w:t>
            </w:r>
            <w:r>
              <w:rPr>
                <w:rFonts w:cs="等线 Light"/>
                <w:bCs/>
                <w:sz w:val="15"/>
                <w:szCs w:val="21"/>
                <w:lang w:bidi="ar"/>
              </w:rPr>
              <w:t>100mm）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88.7364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塑料打孔波纹管（</w:t>
            </w:r>
            <w:r>
              <w:rPr>
                <w:rFonts w:hint="eastAsia" w:cs="等线"/>
                <w:sz w:val="15"/>
                <w:szCs w:val="21"/>
                <w:lang w:bidi="ar"/>
              </w:rPr>
              <w:t>Φ</w:t>
            </w:r>
            <w:r>
              <w:rPr>
                <w:rFonts w:cs="等线 Light"/>
                <w:bCs/>
                <w:sz w:val="15"/>
                <w:szCs w:val="21"/>
                <w:lang w:bidi="ar"/>
              </w:rPr>
              <w:t>200mm）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187.3324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塑料打孔波纹管（</w:t>
            </w:r>
            <w:r>
              <w:rPr>
                <w:rFonts w:hint="eastAsia" w:cs="等线"/>
                <w:sz w:val="15"/>
                <w:szCs w:val="21"/>
                <w:lang w:bidi="ar"/>
              </w:rPr>
              <w:t>Φ</w:t>
            </w:r>
            <w:r>
              <w:rPr>
                <w:rFonts w:cs="等线 Light"/>
                <w:bCs/>
                <w:sz w:val="15"/>
                <w:szCs w:val="21"/>
                <w:lang w:bidi="ar"/>
              </w:rPr>
              <w:t>400mm）</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384.5244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218.79</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塑料波纹管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PVC注浆管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塑料管（含连接件）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钢塑复合管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w:sz w:val="15"/>
                <w:szCs w:val="21"/>
                <w:lang w:bidi="ar"/>
              </w:rPr>
              <w:t>Φ</w:t>
            </w:r>
            <w:r>
              <w:rPr>
                <w:rFonts w:cs="等线 Light"/>
                <w:bCs/>
                <w:sz w:val="15"/>
                <w:szCs w:val="21"/>
                <w:lang w:bidi="ar"/>
              </w:rPr>
              <w:t>1500mm软质通风管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高压钢丝缠绕胶管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塑料管支架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橡胶止水带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r>
              <w:rPr>
                <w:rFonts w:hint="eastAsia" w:cs="等线 Light"/>
                <w:sz w:val="15"/>
                <w:szCs w:val="21"/>
                <w:lang w:bidi="ar"/>
              </w:rPr>
              <w:t>×</w:t>
            </w:r>
            <w:r>
              <w:rPr>
                <w:rFonts w:cs="等线 Light"/>
                <w:bCs/>
                <w:sz w:val="15"/>
                <w:szCs w:val="21"/>
                <w:lang w:bidi="ar"/>
              </w:rPr>
              <w:t>300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0.585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橡胶止水条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r>
              <w:rPr>
                <w:rFonts w:hint="eastAsia" w:cs="等线 Light"/>
                <w:sz w:val="15"/>
                <w:szCs w:val="21"/>
                <w:lang w:bidi="ar"/>
              </w:rPr>
              <w:t>×</w:t>
            </w:r>
            <w:r>
              <w:rPr>
                <w:rFonts w:cs="等线 Light"/>
                <w:bCs/>
                <w:sz w:val="15"/>
                <w:szCs w:val="21"/>
                <w:lang w:bidi="ar"/>
              </w:rPr>
              <w:t>300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塑料排水板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96g/m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塑料编织袋</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袋装砂井用</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灌注式黏结胶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塑料拉筋带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聚炳烯塑料带</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塑料扩张环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复合式防水板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浸渍胶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植生袋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耐候胶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封缝胶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碳纤维板黏结胶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改性环氧基液</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涂抹式黏结胶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PVC胶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环氧树脂胶水</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封边胶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灌缝胶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底胶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找平胶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注胶器</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注胶座</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玻璃胶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mL</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振动标线涂料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密封胶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粘结胶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植筋胶</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纤维稳定剂</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木质素纤维、矿物纤维等</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高次团粒剂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压浆料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膨胀剂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高效减水剂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锚固剂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气密剂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发泡剂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高效防水剂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瞬间堵漏剂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遇水膨胀剂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除锈剂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瓶</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助焊剂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mL</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0.003</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乳化炸药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硝铵炸药</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1号、2号岩石硝铵炸药</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导火线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砂包线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Φ1.2mm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母线</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2.5mm</w:t>
            </w:r>
            <w:r>
              <w:rPr>
                <w:rFonts w:cs="等线 Light"/>
                <w:bCs/>
                <w:sz w:val="15"/>
                <w:szCs w:val="21"/>
                <w:vertAlign w:val="superscript"/>
                <w:lang w:bidi="ar"/>
              </w:rPr>
              <w:t>2</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0.02</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普通雷管</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电雷管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6号瞬发电雷管，带脚线1.5m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非电毫秒雷管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导爆管长3～7m</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导爆索</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爆速6000～7000m/s</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土工布</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4～5m宽</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0.28</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玻璃纤维布</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宽为：1.0～1.37m，长为</w:t>
            </w:r>
            <w:r>
              <w:rPr>
                <w:rFonts w:hint="eastAsia" w:cs="等线 Light"/>
                <w:bCs/>
                <w:sz w:val="15"/>
                <w:szCs w:val="21"/>
                <w:lang w:bidi="ar"/>
              </w:rPr>
              <w:t>：</w:t>
            </w:r>
            <w:r>
              <w:rPr>
                <w:rFonts w:cs="等线 Light"/>
                <w:bCs/>
                <w:sz w:val="15"/>
                <w:szCs w:val="21"/>
                <w:lang w:bidi="ar"/>
              </w:rPr>
              <w:t>100～200m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土工格栅</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宽6m，聚乙烯单向、双向拉伸、聚炳烯双向、</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0.45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土工格室</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5～50cm，网格尺寸根据客户需求制作</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长桶形土工袋</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个</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无机富锌漆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油漆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标线漆</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常温型</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涂料</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毛面涂料</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桥面防水涂料</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聚合物渗透水性桥面防水涂料</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防水卷材</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底油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热熔涂料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环氧树脂</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E－42，E－44，E－51</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PE防护料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水玻璃</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黏度40°Bel</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油毛毡</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400g，0.915m</w:t>
            </w:r>
            <w:r>
              <w:rPr>
                <w:rFonts w:hint="eastAsia" w:cs="等线 Light"/>
                <w:sz w:val="15"/>
                <w:szCs w:val="21"/>
                <w:lang w:bidi="ar"/>
              </w:rPr>
              <w:t>×</w:t>
            </w:r>
            <w:r>
              <w:rPr>
                <w:rFonts w:cs="等线 Light"/>
                <w:bCs/>
                <w:sz w:val="15"/>
                <w:szCs w:val="21"/>
                <w:lang w:bidi="ar"/>
              </w:rPr>
              <w:t>21.95m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1.97</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玻璃钢瓦</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1300</w:t>
            </w:r>
            <w:r>
              <w:rPr>
                <w:rFonts w:hint="eastAsia" w:cs="等线 Light"/>
                <w:sz w:val="15"/>
                <w:szCs w:val="21"/>
                <w:lang w:bidi="ar"/>
              </w:rPr>
              <w:t>×</w:t>
            </w:r>
            <w:r>
              <w:rPr>
                <w:rFonts w:cs="等线 Light"/>
                <w:bCs/>
                <w:sz w:val="15"/>
                <w:szCs w:val="21"/>
                <w:lang w:bidi="ar"/>
              </w:rPr>
              <w:t>7300</w:t>
            </w:r>
            <w:r>
              <w:rPr>
                <w:rFonts w:hint="eastAsia" w:cs="等线 Light"/>
                <w:sz w:val="15"/>
                <w:szCs w:val="21"/>
                <w:lang w:bidi="ar"/>
              </w:rPr>
              <w:t>×</w:t>
            </w:r>
            <w:r>
              <w:rPr>
                <w:rFonts w:cs="等线 Light"/>
                <w:bCs/>
                <w:sz w:val="15"/>
                <w:szCs w:val="21"/>
                <w:lang w:bidi="ar"/>
              </w:rPr>
              <w:t>1.1mm</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反光油漆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冷塑路面材料底漆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冷塑路面材料面漆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磷酸二氢钠</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防火涂料</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面漆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聚合物砂浆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聚合物混凝土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510.94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防腐聚氨酯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丙酮</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环氧富锌底漆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环氧中间漆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氟碳面漆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油漆溶剂油</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纤维素</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碳纤维板</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1779.66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防锈漆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碳纤维布</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环氧油漆</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涂饰胶液</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浸渍树脂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甲基丙烯酸甲酯</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泥炭</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路面用堆方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黏土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膨润土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碎石土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天然堆方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1550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砂砾土</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天然堆方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种植土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植物营养土</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粉煤灰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硅灰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0.08</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椰粉</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1.2</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熟石灰</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747.00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砂</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路面用堆方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中（粗）砂</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混凝土、砂浆用堆方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路面用机制砂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砂砾</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天然砂砾</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天然级配</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煤渣</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过筛净渣堆方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矿渣</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石渣</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矿粉</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粒经＜0.0074cm，质量比＞70%</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84.4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石屑</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粒经</w:t>
            </w:r>
            <w:r>
              <w:rPr>
                <w:rFonts w:hint="eastAsia" w:ascii="宋体" w:hAnsi="宋体" w:cs="等线 Light"/>
                <w:bCs/>
                <w:sz w:val="15"/>
                <w:szCs w:val="21"/>
                <w:lang w:bidi="ar"/>
              </w:rPr>
              <w:t>≤</w:t>
            </w:r>
            <w:r>
              <w:rPr>
                <w:rFonts w:cs="等线 Light"/>
                <w:bCs/>
                <w:sz w:val="15"/>
                <w:szCs w:val="21"/>
                <w:lang w:bidi="ar"/>
              </w:rPr>
              <w:t>0.8cm堆方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路面用石屑</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石英砂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kg</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机制防滑砂</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砾石（2cm）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最大粒径2cm堆方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砾石（4cm）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最大粒径4cm堆方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砾石（6cm）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最大粒径6cm堆方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砾石（8cm）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片石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开采片石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捡清片石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大卵石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粒经＞8cm码方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煤矸石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风化石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1700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白石子</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bl>
    <w:p>
      <w:pPr>
        <w:spacing w:line="240" w:lineRule="auto"/>
        <w:jc w:val="center"/>
        <w:rPr>
          <w:rFonts w:cs="等线 Light"/>
          <w:sz w:val="15"/>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5</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4116"/>
        <w:gridCol w:w="715"/>
        <w:gridCol w:w="1130"/>
        <w:gridCol w:w="13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名称</w:t>
            </w:r>
          </w:p>
        </w:tc>
        <w:tc>
          <w:tcPr>
            <w:tcW w:w="2171"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规格</w:t>
            </w: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w:t>
            </w:r>
          </w:p>
        </w:tc>
        <w:tc>
          <w:tcPr>
            <w:tcW w:w="596"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单位质量</w:t>
            </w:r>
          </w:p>
          <w:p>
            <w:pPr>
              <w:spacing w:line="240" w:lineRule="auto"/>
              <w:jc w:val="center"/>
              <w:textAlignment w:val="center"/>
              <w:rPr>
                <w:rFonts w:cs="等线 Light"/>
                <w:bCs/>
                <w:sz w:val="15"/>
                <w:szCs w:val="21"/>
                <w:lang w:bidi="ar"/>
              </w:rPr>
            </w:pPr>
            <w:r>
              <w:rPr>
                <w:rFonts w:hint="eastAsia" w:cs="等线 Light"/>
                <w:bCs/>
                <w:sz w:val="15"/>
                <w:szCs w:val="21"/>
                <w:lang w:bidi="ar"/>
              </w:rPr>
              <w:t>（kg）</w:t>
            </w:r>
          </w:p>
        </w:tc>
        <w:tc>
          <w:tcPr>
            <w:tcW w:w="70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碳排放因子</w:t>
            </w:r>
          </w:p>
          <w:p>
            <w:pPr>
              <w:spacing w:line="240" w:lineRule="auto"/>
              <w:jc w:val="center"/>
              <w:textAlignment w:val="center"/>
              <w:rPr>
                <w:rFonts w:cs="等线 Light"/>
                <w:bCs/>
                <w:sz w:val="15"/>
                <w:szCs w:val="21"/>
                <w:lang w:bidi="ar"/>
              </w:rPr>
            </w:pPr>
            <w:r>
              <w:rPr>
                <w:rFonts w:hint="eastAsia" w:cs="等线 Light"/>
                <w:bCs/>
                <w:sz w:val="15"/>
                <w:szCs w:val="21"/>
                <w:lang w:bidi="ar"/>
              </w:rPr>
              <w:t>（kg</w:t>
            </w:r>
            <w:r>
              <w:rPr>
                <w:rStyle w:val="42"/>
                <w:rFonts w:hint="default" w:ascii="Times New Roman" w:hAnsi="Times New Roman" w:eastAsia="宋体" w:cs="等线 Light"/>
                <w:color w:val="auto"/>
                <w:sz w:val="15"/>
                <w:szCs w:val="21"/>
                <w:lang w:bidi="ar"/>
              </w:rPr>
              <w:t>CO</w:t>
            </w:r>
            <w:r>
              <w:rPr>
                <w:rStyle w:val="43"/>
                <w:rFonts w:hint="default" w:ascii="Times New Roman" w:hAnsi="Times New Roman" w:eastAsia="宋体" w:cs="等线 Light"/>
                <w:color w:val="auto"/>
                <w:sz w:val="15"/>
                <w:szCs w:val="21"/>
                <w:lang w:bidi="ar"/>
              </w:rPr>
              <w:t>2e</w:t>
            </w:r>
            <w:r>
              <w:rPr>
                <w:rFonts w:hint="eastAsia" w:cs="等线 Light"/>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碎石（2cm）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最大粒径2cm堆方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碎石（4cm）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最大粒径4cm堆方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碎石（6cm）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最大粒径6cm堆方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碎石（8cm）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最大粒径8cm堆方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碎石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未筛分碎石统料堆方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路面用碎石（1.5cm）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最大粒经1.5cm堆方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路面用碎石（2.5cm）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最大粒经2.5cm堆方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路面用碎石（3.5cm）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最大粒经3.5cm堆方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路面用碎石（5cm）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最大粒经5cm堆方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路面用碎石（6cm）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最大粒经6cm堆方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路面用碎石（7cm）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最大粒经7cm堆方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路面用碎石（8cm）</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最大粒经8cm堆方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1500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玄武岩碎石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堆方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2890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块石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开采块石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码方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1850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盖板石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实方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料石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粗料石</w:t>
            </w:r>
          </w:p>
        </w:tc>
        <w:tc>
          <w:tcPr>
            <w:tcW w:w="2171"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实方</w:t>
            </w: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细料石</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m</w:t>
            </w:r>
            <w:r>
              <w:rPr>
                <w:rFonts w:cs="等线 Light"/>
                <w:bCs/>
                <w:sz w:val="15"/>
                <w:szCs w:val="21"/>
                <w:vertAlign w:val="superscript"/>
                <w:lang w:bidi="ar"/>
              </w:rPr>
              <w:t>3</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瓷砖</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hint="eastAsia" w:cs="等线 Light"/>
                <w:bCs/>
                <w:sz w:val="15"/>
                <w:szCs w:val="21"/>
                <w:lang w:bidi="ar"/>
              </w:rPr>
              <w:t>m</w:t>
            </w:r>
            <w:r>
              <w:rPr>
                <w:rFonts w:hint="eastAsia" w:cs="等线 Light"/>
                <w:bCs/>
                <w:sz w:val="15"/>
                <w:szCs w:val="21"/>
                <w:vertAlign w:val="superscript"/>
                <w:lang w:bidi="ar"/>
              </w:rPr>
              <w:t>2</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青（红）砖</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千块</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2600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32.5级水泥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677.68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42.5级水泥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920.03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52.5级水泥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1041.56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62.5级水泥</w:t>
            </w:r>
          </w:p>
        </w:tc>
        <w:tc>
          <w:tcPr>
            <w:tcW w:w="2171" w:type="pct"/>
            <w:noWrap w:val="0"/>
            <w:vAlign w:val="center"/>
          </w:tcPr>
          <w:p>
            <w:pPr>
              <w:spacing w:line="240" w:lineRule="auto"/>
              <w:jc w:val="center"/>
              <w:textAlignment w:val="center"/>
              <w:rPr>
                <w:rFonts w:cs="等线 Light"/>
                <w:bCs/>
                <w:sz w:val="15"/>
                <w:szCs w:val="21"/>
                <w:lang w:bidi="ar"/>
              </w:rPr>
            </w:pPr>
          </w:p>
        </w:tc>
        <w:tc>
          <w:tcPr>
            <w:tcW w:w="37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t</w:t>
            </w:r>
          </w:p>
        </w:tc>
        <w:tc>
          <w:tcPr>
            <w:tcW w:w="596"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1000</w:t>
            </w:r>
          </w:p>
        </w:tc>
        <w:tc>
          <w:tcPr>
            <w:tcW w:w="707" w:type="pct"/>
            <w:noWrap w:val="0"/>
            <w:vAlign w:val="center"/>
          </w:tcPr>
          <w:p>
            <w:pPr>
              <w:spacing w:line="240" w:lineRule="auto"/>
              <w:jc w:val="center"/>
              <w:textAlignment w:val="center"/>
              <w:rPr>
                <w:rFonts w:cs="等线 Light"/>
                <w:bCs/>
                <w:sz w:val="15"/>
                <w:szCs w:val="21"/>
                <w:lang w:bidi="ar"/>
              </w:rPr>
            </w:pPr>
            <w:r>
              <w:rPr>
                <w:rFonts w:cs="等线 Light"/>
                <w:bCs/>
                <w:sz w:val="15"/>
                <w:szCs w:val="21"/>
                <w:lang w:bidi="ar"/>
              </w:rPr>
              <w:t>1163.09</w:t>
            </w:r>
          </w:p>
        </w:tc>
      </w:tr>
    </w:tbl>
    <w:p>
      <w:pPr>
        <w:spacing w:line="240" w:lineRule="auto"/>
        <w:jc w:val="left"/>
        <w:textAlignment w:val="center"/>
        <w:rPr>
          <w:b/>
          <w:bCs/>
          <w:szCs w:val="21"/>
        </w:rPr>
      </w:pPr>
      <w:r>
        <w:rPr>
          <w:rFonts w:hint="eastAsia" w:cs="等线 Light"/>
          <w:sz w:val="15"/>
          <w:szCs w:val="21"/>
        </w:rPr>
        <w:t>注：本表格源于《公路工程碳排放估算指标（试行）》Q/CCCG 106。</w:t>
      </w:r>
    </w:p>
    <w:p>
      <w:pPr>
        <w:widowControl/>
        <w:spacing w:line="240" w:lineRule="auto"/>
        <w:jc w:val="left"/>
        <w:rPr>
          <w:rFonts w:cs="等线 Light"/>
          <w:sz w:val="15"/>
          <w:szCs w:val="21"/>
        </w:rPr>
      </w:pPr>
      <w:r>
        <w:rPr>
          <w:rFonts w:cs="等线 Light"/>
          <w:sz w:val="15"/>
          <w:szCs w:val="21"/>
        </w:rPr>
        <w:br w:type="page"/>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6</w:t>
      </w:r>
      <w:r>
        <w:rPr>
          <w:rFonts w:hint="eastAsia"/>
          <w:szCs w:val="21"/>
        </w:rPr>
        <w:t xml:space="preserve"> </w:t>
      </w:r>
      <w:r>
        <w:rPr>
          <w:szCs w:val="21"/>
        </w:rPr>
        <w:t xml:space="preserve"> </w:t>
      </w:r>
      <w:r>
        <w:rPr>
          <w:rFonts w:hint="eastAsia"/>
          <w:szCs w:val="21"/>
        </w:rPr>
        <w:t>机械设备碳排放因子表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rPr>
                <w:sz w:val="15"/>
              </w:rPr>
            </w:pPr>
            <w:r>
              <w:rPr>
                <w:rFonts w:hint="eastAsia"/>
                <w:sz w:val="15"/>
              </w:rPr>
              <w:t>机械设备名称与规格</w:t>
            </w:r>
          </w:p>
        </w:tc>
        <w:tc>
          <w:tcPr>
            <w:tcW w:w="2473" w:type="pct"/>
            <w:gridSpan w:val="5"/>
            <w:noWrap w:val="0"/>
            <w:vAlign w:val="center"/>
          </w:tcPr>
          <w:p>
            <w:pPr>
              <w:spacing w:line="240" w:lineRule="auto"/>
              <w:jc w:val="center"/>
              <w:rPr>
                <w:sz w:val="15"/>
              </w:rPr>
            </w:pPr>
            <w:r>
              <w:rPr>
                <w:rFonts w:hint="eastAsia"/>
                <w:sz w:val="15"/>
              </w:rPr>
              <w:t>能源用量</w:t>
            </w:r>
          </w:p>
        </w:tc>
        <w:tc>
          <w:tcPr>
            <w:tcW w:w="678" w:type="pct"/>
            <w:vMerge w:val="restart"/>
            <w:noWrap w:val="0"/>
            <w:vAlign w:val="center"/>
          </w:tcPr>
          <w:p>
            <w:pPr>
              <w:spacing w:line="240" w:lineRule="auto"/>
              <w:jc w:val="center"/>
              <w:rPr>
                <w:sz w:val="15"/>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rPr>
                <w:sz w:val="15"/>
              </w:rPr>
            </w:pPr>
          </w:p>
        </w:tc>
        <w:tc>
          <w:tcPr>
            <w:tcW w:w="494" w:type="pct"/>
            <w:noWrap/>
            <w:vAlign w:val="center"/>
          </w:tcPr>
          <w:p>
            <w:pPr>
              <w:spacing w:line="240" w:lineRule="auto"/>
              <w:jc w:val="center"/>
              <w:rPr>
                <w:sz w:val="15"/>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rPr>
                <w:sz w:val="15"/>
              </w:rPr>
            </w:pPr>
            <w:r>
              <w:rPr>
                <w:rFonts w:hint="eastAsia"/>
                <w:sz w:val="15"/>
              </w:rPr>
              <w:t>柴油(kg)</w:t>
            </w:r>
          </w:p>
        </w:tc>
        <w:tc>
          <w:tcPr>
            <w:tcW w:w="494" w:type="pct"/>
            <w:noWrap/>
            <w:vAlign w:val="center"/>
          </w:tcPr>
          <w:p>
            <w:pPr>
              <w:spacing w:line="240" w:lineRule="auto"/>
              <w:jc w:val="center"/>
              <w:rPr>
                <w:sz w:val="15"/>
              </w:rPr>
            </w:pPr>
            <w:r>
              <w:rPr>
                <w:sz w:val="15"/>
              </w:rPr>
              <w:t>重油（kg）</w:t>
            </w:r>
          </w:p>
        </w:tc>
        <w:tc>
          <w:tcPr>
            <w:tcW w:w="494" w:type="pct"/>
            <w:noWrap w:val="0"/>
            <w:vAlign w:val="center"/>
          </w:tcPr>
          <w:p>
            <w:pPr>
              <w:spacing w:line="240" w:lineRule="auto"/>
              <w:jc w:val="center"/>
              <w:rPr>
                <w:sz w:val="15"/>
              </w:rPr>
            </w:pPr>
            <w:r>
              <w:rPr>
                <w:rFonts w:hint="eastAsia"/>
                <w:sz w:val="15"/>
              </w:rPr>
              <w:t>煤（kg）</w:t>
            </w:r>
          </w:p>
        </w:tc>
        <w:tc>
          <w:tcPr>
            <w:tcW w:w="496" w:type="pct"/>
            <w:noWrap/>
            <w:vAlign w:val="center"/>
          </w:tcPr>
          <w:p>
            <w:pPr>
              <w:spacing w:line="240" w:lineRule="auto"/>
              <w:jc w:val="center"/>
              <w:rPr>
                <w:sz w:val="15"/>
              </w:rPr>
            </w:pPr>
            <w:r>
              <w:rPr>
                <w:rFonts w:hint="eastAsia"/>
                <w:sz w:val="15"/>
              </w:rPr>
              <w:t>电（</w:t>
            </w:r>
            <w:r>
              <w:rPr>
                <w:sz w:val="15"/>
              </w:rPr>
              <w:t>KWh</w:t>
            </w:r>
            <w:r>
              <w:rPr>
                <w:rFonts w:hint="eastAsia"/>
                <w:sz w:val="15"/>
              </w:rPr>
              <w:t>）</w:t>
            </w:r>
          </w:p>
        </w:tc>
        <w:tc>
          <w:tcPr>
            <w:tcW w:w="678" w:type="pct"/>
            <w:vMerge w:val="continue"/>
            <w:noWrap w:val="0"/>
            <w:vAlign w:val="center"/>
          </w:tcPr>
          <w:p>
            <w:pPr>
              <w:spacing w:line="240" w:lineRule="auto"/>
              <w:jc w:val="center"/>
              <w:rPr>
                <w:sz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126.67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170.41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65.37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237.21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89.14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276.33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303.99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373.09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174.57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541.17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320kW以内履带式推土机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234.75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727.73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105kW以内湿地推土机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237.21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135kW以内湿地推土机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303.99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165kW以内湿地推土机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373.09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135kW以内轮胎式推土机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303.99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160kW以内轮胎式推土机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354.64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146.32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218.24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285.20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129.60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401.76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496.00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23m</w:t>
            </w:r>
            <w:r>
              <w:rPr>
                <w:rFonts w:hint="eastAsia" w:cs="等线"/>
                <w:sz w:val="15"/>
                <w:szCs w:val="21"/>
                <w:vertAlign w:val="superscript"/>
                <w:lang w:bidi="ar"/>
              </w:rPr>
              <w:t>3</w:t>
            </w:r>
            <w:r>
              <w:rPr>
                <w:rFonts w:hint="eastAsia" w:cs="等线"/>
                <w:sz w:val="15"/>
                <w:szCs w:val="21"/>
                <w:lang w:bidi="ar"/>
              </w:rPr>
              <w:t>以内自行式铲运机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545.60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183.52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内拖式铲运机（含头）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297.60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116.10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0.8m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55.84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6" w:type="pct"/>
            <w:noWrap/>
            <w:vAlign w:val="center"/>
          </w:tcPr>
          <w:p>
            <w:pPr>
              <w:spacing w:line="240" w:lineRule="auto"/>
              <w:jc w:val="center"/>
              <w:textAlignment w:val="bottom"/>
              <w:rPr>
                <w:rFonts w:cs="等线"/>
                <w:sz w:val="15"/>
                <w:szCs w:val="21"/>
                <w:lang w:bidi="ar"/>
              </w:rPr>
            </w:pPr>
          </w:p>
        </w:tc>
        <w:tc>
          <w:tcPr>
            <w:tcW w:w="678" w:type="pct"/>
            <w:noWrap w:val="0"/>
            <w:vAlign w:val="center"/>
          </w:tcPr>
          <w:p>
            <w:pPr>
              <w:spacing w:line="240" w:lineRule="auto"/>
              <w:jc w:val="center"/>
              <w:textAlignment w:val="bottom"/>
              <w:rPr>
                <w:rFonts w:cs="等线"/>
                <w:sz w:val="15"/>
                <w:szCs w:val="21"/>
                <w:lang w:bidi="ar"/>
              </w:rPr>
            </w:pPr>
            <w:r>
              <w:rPr>
                <w:rFonts w:cs="等线"/>
                <w:sz w:val="15"/>
                <w:szCs w:val="21"/>
                <w:lang w:bidi="ar"/>
              </w:rPr>
              <w:t>173.10</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232.22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249.09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89.89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278.66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91.93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以内履带式液压单斗挖掘机带破碎锤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以内履带式液压单斗挖掘机带ER650铣挖机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以内履带式液压单斗挖掘机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217.91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以内履带式机械单斗挖掘机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64.69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以内履带式机械单斗挖掘机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86.48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268.09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以内履带式机械单斗挖掘机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91.93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0.2m</w:t>
            </w:r>
            <w:r>
              <w:rPr>
                <w:rFonts w:hint="eastAsia" w:cs="等线"/>
                <w:sz w:val="15"/>
                <w:szCs w:val="21"/>
                <w:vertAlign w:val="superscript"/>
                <w:lang w:bidi="ar"/>
              </w:rPr>
              <w:t>3</w:t>
            </w:r>
            <w:r>
              <w:rPr>
                <w:rFonts w:hint="eastAsia" w:cs="等线"/>
                <w:sz w:val="15"/>
                <w:szCs w:val="21"/>
                <w:lang w:bidi="ar"/>
              </w:rPr>
              <w:t>以内轮胎式液压单斗挖掘机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21.79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0.4m</w:t>
            </w:r>
            <w:r>
              <w:rPr>
                <w:rFonts w:hint="eastAsia" w:cs="等线"/>
                <w:sz w:val="15"/>
                <w:szCs w:val="21"/>
                <w:vertAlign w:val="superscript"/>
                <w:lang w:bidi="ar"/>
              </w:rPr>
              <w:t>3</w:t>
            </w:r>
            <w:r>
              <w:rPr>
                <w:rFonts w:hint="eastAsia" w:cs="等线"/>
                <w:sz w:val="15"/>
                <w:szCs w:val="21"/>
                <w:lang w:bidi="ar"/>
              </w:rPr>
              <w:t>以内轮胎式液压单斗挖掘机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29.28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以内轮胎式液压单斗挖掘机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以内履带式装载机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以内履带式装载机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78.17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3.2m</w:t>
            </w:r>
            <w:r>
              <w:rPr>
                <w:rFonts w:hint="eastAsia" w:cs="等线"/>
                <w:sz w:val="15"/>
                <w:szCs w:val="21"/>
                <w:vertAlign w:val="superscript"/>
                <w:lang w:bidi="ar"/>
              </w:rPr>
              <w:t>3</w:t>
            </w:r>
            <w:r>
              <w:rPr>
                <w:rFonts w:hint="eastAsia" w:cs="等线"/>
                <w:sz w:val="15"/>
                <w:szCs w:val="21"/>
                <w:lang w:bidi="ar"/>
              </w:rPr>
              <w:t>以内履带式装载机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135.95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65.37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92.86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102.52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317.81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115.15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356.97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3.5m</w:t>
            </w:r>
            <w:r>
              <w:rPr>
                <w:rFonts w:hint="eastAsia" w:cs="等线"/>
                <w:sz w:val="15"/>
                <w:szCs w:val="21"/>
                <w:vertAlign w:val="superscript"/>
                <w:lang w:bidi="ar"/>
              </w:rPr>
              <w:t>3</w:t>
            </w:r>
            <w:r>
              <w:rPr>
                <w:rFonts w:hint="eastAsia" w:cs="等线"/>
                <w:sz w:val="15"/>
                <w:szCs w:val="21"/>
                <w:lang w:bidi="ar"/>
              </w:rPr>
              <w:t>以内轮胎式装载机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128.52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398.41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以内轮胎式防爆型装载机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92.86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以内轮胎式装载机（三向）</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104.07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322.62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以内轮胎式装载机（三向）</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123.29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0.3m</w:t>
            </w:r>
            <w:r>
              <w:rPr>
                <w:rFonts w:hint="eastAsia" w:cs="等线"/>
                <w:sz w:val="15"/>
                <w:szCs w:val="21"/>
                <w:vertAlign w:val="superscript"/>
                <w:lang w:bidi="ar"/>
              </w:rPr>
              <w:t>3</w:t>
            </w:r>
            <w:r>
              <w:rPr>
                <w:rFonts w:hint="eastAsia" w:cs="等线"/>
                <w:sz w:val="15"/>
                <w:szCs w:val="21"/>
                <w:lang w:bidi="ar"/>
              </w:rPr>
              <w:t>以内轮胎式装载机（带挖掘）</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43.09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133.58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0.35m</w:t>
            </w:r>
            <w:r>
              <w:rPr>
                <w:rFonts w:hint="eastAsia" w:cs="等线"/>
                <w:sz w:val="15"/>
                <w:szCs w:val="21"/>
                <w:vertAlign w:val="superscript"/>
                <w:lang w:bidi="ar"/>
              </w:rPr>
              <w:t>3</w:t>
            </w:r>
            <w:r>
              <w:rPr>
                <w:rFonts w:hint="eastAsia" w:cs="等线"/>
                <w:sz w:val="15"/>
                <w:szCs w:val="21"/>
                <w:lang w:bidi="ar"/>
              </w:rPr>
              <w:t>以内轮胎式装载机（带挖掘）</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53.03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57.20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60.13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82.13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95.34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107.80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126.14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142.27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220kW以内自行式平地机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161.34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35.20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64.53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86.54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119.54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240kW以内履带式拖拉机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170.14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527.43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9kW以内手扶式拖拉机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21kW以内轮胎式拖拉机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14.67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41kW以内轮胎式拖拉机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29.33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75kW以内轮胎式拖拉机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52.07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3t内拖式羊足碾（含拖头）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29.49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6t内拖式羊足碾（含拖头）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6～8t光轮压路机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59.52</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8～10t光轮压路机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23.20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10～12t光轮压路机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12～15t光轮压路机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15～18t光轮压路机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18～21t光轮压路机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21～25t光轮压路机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0.6t以内手扶式振动碾</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10t以内振动压路机（单钢轮）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15t以内振动压路机（单钢轮）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228.16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105.60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327.36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149.60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25t以内冲击式压路机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289.61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897.79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15t以内拖式振动碾（含拖头）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蛙式夯土机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内燃夯土机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59.66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5000kN·m以内强夯机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80.92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电动凿岩机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内燃式凿岩机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二臂凿岩台车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432.02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301.75</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三臂凿岩台车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41.98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664.47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三臂轮胎式凿岩台车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31.82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711.43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四臂履带液压式凿岩台车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47.73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854.65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563.32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Φ38～76mm液压潜孔钻机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Φ38～115mm液压潜孔钻机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Φ100mm以内履带式潜孔钻车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46.40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143.84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Φ150mm以内履带式潜孔钻车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Φ38～105mm液压锚固钻机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Φ38～170mm液压锚固钻机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Φ38～200mm液压锚固钻机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182.78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全液压履带钻机ZYL-1250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全液压履带钻机ZYL-3200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174.96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液压工程地质钻机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30.08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93.25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装药台车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0.2m</w:t>
            </w:r>
            <w:r>
              <w:rPr>
                <w:rFonts w:hint="eastAsia" w:cs="等线"/>
                <w:sz w:val="15"/>
                <w:szCs w:val="21"/>
                <w:vertAlign w:val="superscript"/>
                <w:lang w:bidi="ar"/>
              </w:rPr>
              <w:t>3</w:t>
            </w:r>
            <w:r>
              <w:rPr>
                <w:rFonts w:hint="eastAsia" w:cs="等线"/>
                <w:sz w:val="15"/>
                <w:szCs w:val="21"/>
                <w:lang w:bidi="ar"/>
              </w:rPr>
              <w:t>以内电动装岩机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65.58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0.4m</w:t>
            </w:r>
            <w:r>
              <w:rPr>
                <w:rFonts w:hint="eastAsia" w:cs="等线"/>
                <w:sz w:val="15"/>
                <w:szCs w:val="21"/>
                <w:vertAlign w:val="superscript"/>
                <w:lang w:bidi="ar"/>
              </w:rPr>
              <w:t>3</w:t>
            </w:r>
            <w:r>
              <w:rPr>
                <w:rFonts w:hint="eastAsia" w:cs="等线"/>
                <w:sz w:val="15"/>
                <w:szCs w:val="21"/>
                <w:lang w:bidi="ar"/>
              </w:rPr>
              <w:t>以内电动装岩机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以内电动装岩机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116.83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液压锻钎机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钻头磨床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修钎机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液压喷播机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118kW以内稳定土拌和机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229.93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84.86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103.72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235kW以内稳定土拌和机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147.72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457.93</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260kW以内稳定土拌和机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163.43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300kW以内稳定土拌和机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188.58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141.69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209.70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408.06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549.74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697.10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338.79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782.11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650t/h内稳定土厂拌设备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1020.14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7.5m以内稳定土摊铺机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55.07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9.5m以内稳定土摊铺机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85.87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12.5m以内稳定土摊铺机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136.27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1000L/h以内沥青乳化机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3000L/h以内沥青乳化机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41.29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6000L/h以内沥青乳化机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116.99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6000L/h内沥青乳化设备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254.63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15000L/h内沥青乳化设备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619.37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20-40t/班导热油加热沥青设备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0.31</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158.28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40-60h/班导热油加热沥青设备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0.44</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213.34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60-80h/班导热油加热沥青设备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0.52</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220.22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80-100h/班导热油加热沥青设备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0.74</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357.86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100-140h/班导热油加热沥青设备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1.05</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392.27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4t/h以内沥青脱桶设备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113.98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103.23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403.51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6t/h以内沥青脱桶设备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174.86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602.27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石屑撒布机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7000L内液态沥青运输车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140.31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9000L内液态沥青运输车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53.94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22000L内液态沥青运输车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282.01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500L以内沥青洒布机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1000L以内沥青洒布机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2000L以内沥青洒布车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26.94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4000L以内沥青洒布车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34.28</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6000L以内沥青洒布车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8000L以内沥青洒布车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15t/h内电动黑色粒料拌和机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448.80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181.17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1456.89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25t/h内电动黑色粒料拌和机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748.00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489.82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2519.45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25t/h内机动黑色粒料拌和机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56.83</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748.00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2457.57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176.80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548.08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198.27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223.53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692.94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897.60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624.02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1795.20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1349.87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6131.40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3446.78</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1358.75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11173.03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5170.18</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1618.42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16555.60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6893.57</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2620.88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22299.14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10340.35</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3895.09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33431.08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13787.14</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5151.17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44554.25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380t/h内沥青混合料拌和设备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16372.22</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6111.36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52905.39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4.5m内沥青混合料摊铺机（不带找平）</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4.5m内沥青混合料摊铺机（带找平）</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46.63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144.55</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136.23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422.31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16.5m内沥青混合料摊铺机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180.12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558.37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2.5～3.5m稀浆封层机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103.54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10t以内振动压路机（双钢轮）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12t以内振动压路机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15t以内振动压路机（双钢轮）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9～16t轮胎式压路机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16～20t轮胎式压路机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20～25t轮胎式压路机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25～30t轮胎式压路机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热熔标线设备</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45.33</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2.2kW以内路面划线车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5.0kW以内路面划线车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4.86</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汽车式划线车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35.85</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标线清除机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25.00</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凸起振动标线机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35.00</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3.0-9.0m滑模式水泥混凝土摊铺机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83.66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2.5-4.5m轨道式水泥混凝土摊铺机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排式振捣机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33.15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混凝土电动真空吸水机组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混凝土电动整平机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18.95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混凝土电动抹光机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混凝土机动抹光机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14.21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混凝土电动刻纹机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37.89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混凝土机动刻纹机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27.62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混凝土电动切缝机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18.95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混凝土机动（风冷汽油机）切缝机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高压机动清洗机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路缘石机动开沟机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沥青路缘石机动铺筑机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混凝土路缘石机动铺筑机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沥青灌缝机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9.81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500mm以内路面铣刨机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1000mm以内路面铣刨机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2000mm以内路面铣刨机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590.43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同步碎石封层车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404.24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水泥稀浆车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泡沫沥青就地冷再生机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619.19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1919.49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泡沫沥青厂拌冷再生设备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281.68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450kW冷再生机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307.21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952.35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机动破路机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机动路面清扫机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路面清扫车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多功能除雪车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75.60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道路养护车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45.94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142.41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42.15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223.66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108.70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348.40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169.32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2000L以内强制式混凝土搅拌机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430.12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200L以内灰浆搅拌机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400L以内灰浆搅拌机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混凝土喷射机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混凝土防爆型喷射机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40.46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/h以内灰浆输送泵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/h以内灰浆输送泵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5m</w:t>
            </w:r>
            <w:r>
              <w:rPr>
                <w:rFonts w:hint="eastAsia" w:cs="等线"/>
                <w:sz w:val="15"/>
                <w:szCs w:val="21"/>
                <w:vertAlign w:val="superscript"/>
                <w:lang w:bidi="ar"/>
              </w:rPr>
              <w:t>3</w:t>
            </w:r>
            <w:r>
              <w:rPr>
                <w:rFonts w:hint="eastAsia" w:cs="等线"/>
                <w:sz w:val="15"/>
                <w:szCs w:val="21"/>
                <w:lang w:bidi="ar"/>
              </w:rPr>
              <w:t>/h以内灰浆输送泵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灰气联合泵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水泥喷枪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电动灌浆机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双液压电动注浆泵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单液压电动注浆泵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56.15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69.14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26t以内散装水泥车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104.76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40.23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124.71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311.77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106.44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329.96</w:t>
            </w:r>
          </w:p>
        </w:tc>
      </w:tr>
    </w:tbl>
    <w:p>
      <w:pPr>
        <w:widowControl/>
        <w:spacing w:line="240" w:lineRule="auto"/>
        <w:jc w:val="left"/>
        <w:rPr>
          <w:rFonts w:cs="等线"/>
          <w:bCs/>
          <w:sz w:val="18"/>
          <w:szCs w:val="21"/>
          <w:lang w:bidi="ar"/>
        </w:rPr>
      </w:pPr>
      <w:r>
        <w:rPr>
          <w:rFonts w:cs="等线"/>
          <w:bCs/>
          <w:sz w:val="18"/>
          <w:szCs w:val="21"/>
          <w:lang w:bidi="ar"/>
        </w:rPr>
        <w:br w:type="page"/>
      </w: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115.66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358.55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120.69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374.14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14m</w:t>
            </w:r>
            <w:r>
              <w:rPr>
                <w:rFonts w:hint="eastAsia" w:cs="等线"/>
                <w:sz w:val="15"/>
                <w:szCs w:val="21"/>
                <w:vertAlign w:val="superscript"/>
                <w:lang w:bidi="ar"/>
              </w:rPr>
              <w:t>3</w:t>
            </w:r>
            <w:r>
              <w:rPr>
                <w:rFonts w:hint="eastAsia" w:cs="等线"/>
                <w:sz w:val="15"/>
                <w:szCs w:val="21"/>
                <w:lang w:bidi="ar"/>
              </w:rPr>
              <w:t>以内混凝土搅拌运输车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125.72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389.73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以内防爆型混凝土搅拌运输车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以内防爆型混凝土搅拌运输车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235.60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84.57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97.72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101.14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313.53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116.57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170m</w:t>
            </w:r>
            <w:r>
              <w:rPr>
                <w:rFonts w:hint="eastAsia" w:cs="等线"/>
                <w:sz w:val="15"/>
                <w:szCs w:val="21"/>
                <w:vertAlign w:val="superscript"/>
                <w:lang w:bidi="ar"/>
              </w:rPr>
              <w:t>3</w:t>
            </w:r>
            <w:r>
              <w:rPr>
                <w:rFonts w:hint="eastAsia" w:cs="等线"/>
                <w:sz w:val="15"/>
                <w:szCs w:val="21"/>
                <w:lang w:bidi="ar"/>
              </w:rPr>
              <w:t>/h内混凝土输送泵车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48.69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173.67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224.88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109.29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273.86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371.83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80m</w:t>
            </w:r>
            <w:r>
              <w:rPr>
                <w:rFonts w:hint="eastAsia" w:cs="等线"/>
                <w:sz w:val="15"/>
                <w:szCs w:val="21"/>
                <w:vertAlign w:val="superscript"/>
                <w:lang w:bidi="ar"/>
              </w:rPr>
              <w:t>3</w:t>
            </w:r>
            <w:r>
              <w:rPr>
                <w:rFonts w:hint="eastAsia" w:cs="等线"/>
                <w:sz w:val="15"/>
                <w:szCs w:val="21"/>
                <w:lang w:bidi="ar"/>
              </w:rPr>
              <w:t>/h以内混凝土输送泵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463.11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225.07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1×2m混凝土振动台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1.5×6m混凝土振动台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67.10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2.4×6.2m混凝土振动台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254.63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289.04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406.03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197.33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495.50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240.81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701.96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853.36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414.73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1101.11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1341.98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180m</w:t>
            </w:r>
            <w:r>
              <w:rPr>
                <w:rFonts w:hint="eastAsia" w:cs="等线"/>
                <w:sz w:val="15"/>
                <w:szCs w:val="21"/>
                <w:vertAlign w:val="superscript"/>
                <w:lang w:bidi="ar"/>
              </w:rPr>
              <w:t>3</w:t>
            </w:r>
            <w:r>
              <w:rPr>
                <w:rFonts w:hint="eastAsia" w:cs="等线"/>
                <w:sz w:val="15"/>
                <w:szCs w:val="21"/>
                <w:lang w:bidi="ar"/>
              </w:rPr>
              <w:t>/h以内混凝土搅拌站</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1514.02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735.81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半径15m内混凝土布料机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半径20m内混凝土布料机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半径30m内混凝土布料机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111.83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54.35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插入式混凝土振捣器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附着式混凝土振捣器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液压滑升机械</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400t以内连续桥梁顶推设备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600t以内连续桥梁顶推设备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650kN以内预应力拉伸机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5000kN以内预应力拉伸机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70.97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钢绞线拉伸设备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智能张拉系统</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钢绞线压花机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钢绞线穿束机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70.97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波纹管卷制机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压浆机（含拌浆机）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智能压浆系统</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预制块生产设备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481.60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234.06</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60m</w:t>
            </w:r>
            <w:r>
              <w:rPr>
                <w:rFonts w:hint="eastAsia" w:cs="等线"/>
                <w:sz w:val="15"/>
                <w:szCs w:val="21"/>
                <w:vertAlign w:val="superscript"/>
                <w:lang w:bidi="ar"/>
              </w:rPr>
              <w:t>3</w:t>
            </w:r>
            <w:r>
              <w:rPr>
                <w:rFonts w:hint="eastAsia" w:cs="等线"/>
                <w:sz w:val="15"/>
                <w:szCs w:val="21"/>
                <w:lang w:bidi="ar"/>
              </w:rPr>
              <w:t>/h泡沫轻质土生产设备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832.01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20.14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26.12</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43.54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127.14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39.24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57.14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61.72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20t以内载货汽车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81.14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251.53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3t以内自卸汽车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34.12</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5t以内自卸汽车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41.91</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122.38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61.60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190.96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72.92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77.11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90.10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4t以内防爆型载货汽车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15t以内防爆型自卸汽车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156.24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62.40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63.09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249.77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143.32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444.29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163.89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200t以内平板拖车组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182.06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3000L以内运油汽车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29.39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5000L以内运油汽车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8000L以内运油汽车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10000L以内运油汽车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87.62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5000L以内加油汽车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8000L以内加油汽车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4000L以内洒水汽车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29.71</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6000L以内洒水汽车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34.29</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20000L以内洒水汽车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133.60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1t以内机动翻斗车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1t以内防爆型机动翻斗车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轨道拖车头</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手扶式拖拉机（带拖斗）</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127.52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204.03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250.79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12t以内电瓶车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306.04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8t以内梭式矿车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67.30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32.71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14以内梭式矿车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113.35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20以内梭式矿车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78.17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242.33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260t以内轮胎式运梁车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客货两用车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16.00</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36.88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52.80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63.28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101.41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112.31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348.16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113.98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114.82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355.94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117.34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125.72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389.73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152.96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170.14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527.43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300t以内履带式起重机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176.42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546.90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24.72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36.88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42.74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67.05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207.86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60t以内轮胎式起重机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80.46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249.43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5t以内汽车式起重机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25.74</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28.50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88.35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30.59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35.62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38.55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40.65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41.91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150.69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51.96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62.44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67.47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75.43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233.83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81.30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252.03</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bookmarkStart w:id="362" w:name="_Hlk172303717"/>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125t以内汽车式起重机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97.22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301.38</w:t>
            </w:r>
          </w:p>
        </w:tc>
      </w:tr>
      <w:bookmarkEnd w:id="362"/>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99.32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307.89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100.99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313.07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108.95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113.15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271.43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400t以内汽车式起重机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328.30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10m以内高空作业车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15m以内高空作业车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26.82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20m以内高空作业车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44.84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6t内80m高塔式起重机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119.02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57.84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6t内150m高塔式起重机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119.02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57.84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6t内200m高塔式起重机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119.02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57.84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8t内80m高塔式起重机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8t内150m高塔式起重机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8t内200m高塔式起重机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12t内80m高塔式起重机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226.70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12t内150m高塔式起重机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226.70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12t内200m高塔式起重机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226.70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73.68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189.86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252.20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40t以内桅杆式起重机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277.71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跨度20m5t以内龙门式起重机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跨度20m10t以内龙门式起重机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48.17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23.41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跨度20m20t以内龙门式起重机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跨度30m30t以内龙门式起重机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跨度30m40t以内龙门式起重机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141.69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跨度30m50t以内龙门式起重机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175.69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跨度30m60t以内龙门式起重机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215.36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104.66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跨度30m80t以内龙门式起重机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277.71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跨度30m100t以内龙门式起重机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308.88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跨度42m120t以内龙门式起重机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345.72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跨度42m250t以内龙门式起重机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575.25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279.57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跨度50m350t以内龙门式起重机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884.13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429.69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跨缆吊机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473.23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229.99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行走式桥面吊机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523.29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130t以内悬臂吊机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188.10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少先吊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151.81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73.78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500kN以内单筒慢动电动卷扬机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261.11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60.72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100kN以内单筒快动电动卷扬机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173.06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179.13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250kN以内双筒慢动电动卷扬机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218.60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88.05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100kN以内双筒快动电动卷扬机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194.31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30m×0.5m皮带运输机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57.69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97.76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30t以内电动葫芦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127.52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44.64</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494" w:type="pct"/>
            <w:noWrap/>
            <w:vAlign w:val="center"/>
          </w:tcPr>
          <w:p>
            <w:pPr>
              <w:spacing w:line="240" w:lineRule="auto"/>
              <w:jc w:val="center"/>
              <w:textAlignment w:val="bottom"/>
              <w:rPr>
                <w:rFonts w:cs="等线"/>
                <w:sz w:val="15"/>
                <w:szCs w:val="21"/>
                <w:lang w:bidi="ar"/>
              </w:rPr>
            </w:pPr>
            <w:r>
              <w:rPr>
                <w:rFonts w:hint="eastAsia"/>
                <w:sz w:val="15"/>
              </w:rPr>
              <w:t>能源用量</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128.96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35.20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20t以内内燃叉车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75m以内单笼施工电梯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100m以内单笼施工电梯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56.90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150m以内单笼施工电梯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162.94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177.11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400m以内双笼施工电梯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184.19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89.52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2.0m×1.5m单筒绞车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2.0m×1.5m双筒绞车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149.03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5000t以内箱涵顶进设备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Φ1200mm人工挖土法顶管设备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149.86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Φ1650mm人工挖土法顶管设备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97.33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121.82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494" w:type="pct"/>
            <w:noWrap/>
            <w:vAlign w:val="center"/>
          </w:tcPr>
          <w:p>
            <w:pPr>
              <w:spacing w:line="240" w:lineRule="auto"/>
              <w:jc w:val="center"/>
              <w:textAlignment w:val="bottom"/>
              <w:rPr>
                <w:rFonts w:cs="等线"/>
                <w:sz w:val="15"/>
                <w:szCs w:val="21"/>
                <w:lang w:bidi="ar"/>
              </w:rPr>
            </w:pPr>
            <w:r>
              <w:rPr>
                <w:rFonts w:hint="eastAsia"/>
                <w:sz w:val="15"/>
              </w:rPr>
              <w:t>能源用量</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Φ2460mm人工挖土法顶管设备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280.98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Φ1000mm挤压法顶管设备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172.80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83.98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Φ1500mm挤压法顶管设备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249.60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Φ1800mm挤压法顶管设备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326.40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158.63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同步顶升设备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162.30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17.48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32.45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23.32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55.43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99.23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30.18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128.54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1.8t以内导杆式柴油打桩机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37.86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159.04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2.5t以内轨道式柴油打桩机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41.77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189.43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3.5t以内轨道式柴油打桩机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47.49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163.41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226.64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0.5t以内重锤打桩机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14.26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181.91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88.41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249.75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600kN内振动打拔桩机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289.83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126.57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198.78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255.58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352.13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1500kN内振动打拔桩锤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511.16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248.42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114.66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139.23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188.37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245.70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376.74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183.10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96.57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299.37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102.52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317.81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109.20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338.52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112.92</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10000kN以内液压式静力压桩机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125.55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20型、22型电动冲击钻机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98.28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30型电动冲击钻机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178.69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JK8型冲击钻机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179.34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JK10型冲击钻机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260.04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28型机动冲击钻机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Φ1200mm内冲击反循环钻机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410.08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Φ2000mm内冲击反循环钻机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528.78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256.99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Φ2500mm内冲击反循环钻机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620.51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566.56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782.39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Φ3000mm以内回旋钻机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1025.20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498.25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Φ3500mm以内回旋钻机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1327.36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Φ1000mm内汽车式钻机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14.46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Φ2000mm内汽车式钻机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89.05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Φ1125mm以内潜水钻机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458.64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222.90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Φ1500mm以内潜水钻机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620.51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301.57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Φ2500mm以内潜水钻机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755.41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367.13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Φ1500mm内全套管钻机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178.54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Φ2000mm内全套管钻机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Φ800mm以内履带式旋挖钻机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452.60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Φ1200mm以内履带式旋挖钻机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474.30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Φ1800mm以内履带式旋挖钻机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167.00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517.70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Φ2000mm以内履带式旋挖钻机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179.78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557.32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SR220R旋挖钻机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198.00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613.80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SR250R旋挖钻机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264.00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818.40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SR280R旋挖钻机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330.00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1023.00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泥浆制作循环设备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69.98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泥浆分离器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泥浆搅拌机容量100～150L</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袋装砂井机（不带门架）</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94.50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袋装砂井机（门架式）</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157.50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147.00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273.00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75kW以内振冲器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Φ400mm内螺旋钻孔机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79.10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Φ600mm内螺旋钻孔机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241.50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117.37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Φ800mm内螺旋钻孔机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404.25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铣槽机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216.00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履带式液压抓斗成槽机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110.10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履带式绳索抓斗成槽机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138.28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液压冲击重凿机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147.83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458.27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锁口管顶升机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63.89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高压旋喷钻机标准高度18m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135.69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粉体发送设备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3.98</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高压注浆泵排出压力44MPa</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49.14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15m以内深层喷射搅拌机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139.23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18m以内深层喷射搅拌机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233.42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25m以内深层喷射搅拌机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282.56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137.32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混凝土钻孔取芯机Φ200以内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混凝土钻孔取芯机Φ300以内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100L以内低速搅拌器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多辊板料校平机16×2000mm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磁力空心钻</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刨边机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75.89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手持式砂轮机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磁粉探伤机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电动手持冲击钻</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护栏液压打桩（钻孔）机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22.78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148.77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Φ250mm以内电动单级离心水泵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371.93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14.40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Φ200mm以内机动单级离心水泵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29.33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Φ250mm以内机动单级离心水泵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Φ100mm以内电动多级水泵（≤120m）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238.09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115.71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Φ100mm以内电动多级水泵（＞120m）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335.16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162.89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Φ150mm以内电动多级水泵（≤180m）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485.10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Φ150mm以内电动多级水泵（＞180m）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603.08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Φ150mm以内机动多级水泵（≤180m）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74.67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231.48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Φ150mm以内机动多级水泵（＞180m）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93.87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150mm以内单级自吸式水泵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Φ50mm以内潜水泵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Φ100mm以内潜水泵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Φ150mm以内潜水泵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51.93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Φ100mm以内污水泵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93.51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45.45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Φ150mm以内污水泵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255.04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Φ50mm以内泥浆泵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Φ100mm以内泥浆泵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Φ65mm以内砂泵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109.10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Φ100mm以内砂泵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Φ150mm以内砂泵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371.93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180.76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射流井点泵最大抽吸深度10m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真空泵最大抽吸速度204m</w:t>
            </w:r>
            <w:r>
              <w:rPr>
                <w:rFonts w:hint="eastAsia" w:cs="等线"/>
                <w:sz w:val="15"/>
                <w:szCs w:val="21"/>
                <w:vertAlign w:val="superscript"/>
                <w:lang w:bidi="ar"/>
              </w:rPr>
              <w:t>3</w:t>
            </w:r>
            <w:r>
              <w:rPr>
                <w:rFonts w:hint="eastAsia" w:cs="等线"/>
                <w:sz w:val="15"/>
                <w:szCs w:val="21"/>
                <w:lang w:bidi="ar"/>
              </w:rPr>
              <w:t>/h以内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54.55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真空泵最大抽吸速度600m</w:t>
            </w:r>
            <w:r>
              <w:rPr>
                <w:rFonts w:hint="eastAsia" w:cs="等线"/>
                <w:sz w:val="15"/>
                <w:szCs w:val="21"/>
                <w:vertAlign w:val="superscript"/>
                <w:lang w:bidi="ar"/>
              </w:rPr>
              <w:t>3</w:t>
            </w:r>
            <w:r>
              <w:rPr>
                <w:rFonts w:hint="eastAsia" w:cs="等线"/>
                <w:sz w:val="15"/>
                <w:szCs w:val="21"/>
                <w:lang w:bidi="ar"/>
              </w:rPr>
              <w:t>/h以内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油泵50Fs-25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131.77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油泵100Fs-37A</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油泵ZB4-500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456.39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14mm以内钢筋调直切断机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13.36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40mm以内钢筋切断机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29.90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40mm以内钢筋弯曲机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40mm以内钢筋直螺纹滚丝机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14mm以内钢筋镦头机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43.81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21.29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数控钢筋弯箍机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48.00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231.56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258.94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数控立式钢筋弯曲中心</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56.00</w:t>
            </w: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285.48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全自动钢筋笼滚焊机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i/>
                <w:sz w:val="15"/>
                <w:szCs w:val="21"/>
                <w:lang w:bidi="ar"/>
              </w:rPr>
              <w:t>d</w:t>
            </w:r>
            <w:r>
              <w:rPr>
                <w:rFonts w:hint="eastAsia" w:cs="等线"/>
                <w:sz w:val="15"/>
                <w:szCs w:val="21"/>
                <w:lang w:bidi="ar"/>
              </w:rPr>
              <w:t>≤45mm钢筋挤压连接机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钢丝缠束机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钢缆缠丝机缆径800mm以内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323.75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钢缆压紧机缆径800mm以内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71.40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Φ500mm以内木工圆锯机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Φ600mm以内木工圆锯机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45.44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Φ1000mm以内木工圆锯机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75.55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木工带锯机（带跑车）锯轮直径1250mm以内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236.92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300mm以内木工平刨床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450mm以内木工平刨床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13.46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600mm以内单面木工压刨床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600mm以内双面木工压刨床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400mm以内三面木工压刨床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53.90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300mm以内四面木工压刨床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63.16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木工开榫机长度160mm以内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26.32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木工打眼机钻孔直径50mm以内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（多面）木工裁口机宽度50mm以内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木工榫槽机榫槽深度100mm以内</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31.58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68.10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136.61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155.00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80kV·A以内交流电弧焊机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213.19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103.61</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34.65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52.63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70.18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32kW以内直流电弧焊机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91.32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15kV·A以内硅整流电弧焊机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20kV·A以内硅整流电弧焊机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25.39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500A以内氩弧焊机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bookmarkStart w:id="363" w:name="OLE_LINK60"/>
            <w:r>
              <w:rPr>
                <w:rFonts w:hint="eastAsia" w:cs="等线"/>
                <w:sz w:val="15"/>
                <w:szCs w:val="21"/>
                <w:lang w:bidi="ar"/>
              </w:rPr>
              <w:t>250A以内CO</w:t>
            </w:r>
            <w:r>
              <w:rPr>
                <w:rFonts w:hint="eastAsia" w:cs="等线"/>
                <w:sz w:val="15"/>
                <w:szCs w:val="21"/>
                <w:vertAlign w:val="subscript"/>
                <w:lang w:bidi="ar"/>
              </w:rPr>
              <w:t>2</w:t>
            </w:r>
            <w:r>
              <w:rPr>
                <w:rFonts w:hint="eastAsia" w:cs="等线"/>
                <w:sz w:val="15"/>
                <w:szCs w:val="21"/>
                <w:lang w:bidi="ar"/>
              </w:rPr>
              <w:t>保护焊机</w:t>
            </w:r>
            <w:bookmarkEnd w:id="363"/>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300A等离子弧焊机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60.58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400A以内等离子切割机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75.12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半自动切割机厚度100mm</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500A以内自动埋弧焊机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106.62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1200A以内自动埋弧焊机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193.85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1500A以内自动埋弧焊机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266.54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129.54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104.19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288.35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150kV·A以内交流对焊机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431.31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150kV·A以内缝焊机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271.38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50kV·A内短臂交流点焊机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101.77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75kV·A内长臂交流点焊机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155.08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75.37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100kV·A以内长臂交流点焊机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205.96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6×35kV·A多头交流点焊机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520.96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45cm×35cm×45cm电焊条烘干箱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55cm×45cm×55cm电焊条烘干箱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60cm×50cm×75cm电焊条烘干箱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14.18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6.89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80cm×80cm×100cm电焊条烘干箱</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39.47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250mm×400mm电动颚式破碎机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250mm×500mm电动颚式破碎机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84.38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400mm×600mm电动颚式破碎机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500mm×750mm电动颚式破碎机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162.27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600mm×900mm电动颚式破碎机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272.62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150mm×250mm机动颚式破碎机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250mm×400mm机动颚式破碎机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10.97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58.42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136.31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188.24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91.48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233.67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113.56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344.02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167.19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473.84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694.53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180t/h反击式破碎机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837.33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406.94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圆锥破碎机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901.35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打磨机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43.00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振动给料机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制砂机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800.00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筛洗石子机生产率10m</w:t>
            </w:r>
            <w:r>
              <w:rPr>
                <w:rFonts w:hint="eastAsia" w:cs="等线"/>
                <w:sz w:val="15"/>
                <w:szCs w:val="21"/>
                <w:vertAlign w:val="superscript"/>
                <w:lang w:bidi="ar"/>
              </w:rPr>
              <w:t>3</w:t>
            </w:r>
            <w:r>
              <w:rPr>
                <w:rFonts w:hint="eastAsia" w:cs="等线"/>
                <w:sz w:val="15"/>
                <w:szCs w:val="21"/>
                <w:lang w:bidi="ar"/>
              </w:rPr>
              <w: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14.88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滚筒式筛分机生产率8～20m</w:t>
            </w:r>
            <w:r>
              <w:rPr>
                <w:rFonts w:hint="eastAsia" w:cs="等线"/>
                <w:sz w:val="15"/>
                <w:szCs w:val="21"/>
                <w:vertAlign w:val="superscript"/>
                <w:lang w:bidi="ar"/>
              </w:rPr>
              <w:t>3</w:t>
            </w:r>
            <w:r>
              <w:rPr>
                <w:rFonts w:hint="eastAsia" w:cs="等线"/>
                <w:sz w:val="15"/>
                <w:szCs w:val="21"/>
                <w:lang w:bidi="ar"/>
              </w:rPr>
              <w: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惯性振动筛生产率100～300t/h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24.34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偏心振动筛生产率200t/h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29.21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圆振动筛</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Φ400mm以内型材切割机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12.18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5.92</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直径219mm以内抛丸除锈机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34.26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直径500mm以内抛丸除锈机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38.74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直径1000mm以内抛丸除锈机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42.37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钢套管加工设备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链式切割机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盘式切割机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73.31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摇臂钻床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电动混凝土打磨机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手持电钻</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磨石机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台式钻床</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7.47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52.27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162.04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62.93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88.15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108.95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138.67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429.88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160kW以内柴油发电机组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182.25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246.63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764.55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291.21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902.75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320kW以内柴油发电机组</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327.85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1016.34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0.3m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29.21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38.95</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107.10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52.05</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219.07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346.87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168.58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601.24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w:t>
            </w:r>
            <w:r>
              <w:rPr>
                <w:rFonts w:hint="eastAsia" w:cs="等线"/>
                <w:sz w:val="15"/>
                <w:szCs w:val="21"/>
                <w:vertAlign w:val="superscript"/>
                <w:lang w:bidi="ar"/>
              </w:rPr>
              <w:t>3</w:t>
            </w:r>
            <w:r>
              <w:rPr>
                <w:rFonts w:hint="eastAsia" w:cs="等线"/>
                <w:sz w:val="15"/>
                <w:szCs w:val="21"/>
                <w:lang w:bidi="ar"/>
              </w:rPr>
              <w:t>/min内电动空压机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1156.24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24.00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74.40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43.89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60.34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70.63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218.95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40m</w:t>
            </w:r>
            <w:r>
              <w:rPr>
                <w:rFonts w:hint="eastAsia" w:cs="等线"/>
                <w:sz w:val="15"/>
                <w:szCs w:val="21"/>
                <w:vertAlign w:val="superscript"/>
                <w:lang w:bidi="ar"/>
              </w:rPr>
              <w:t>3</w:t>
            </w:r>
            <w:r>
              <w:rPr>
                <w:rFonts w:hint="eastAsia" w:cs="等线"/>
                <w:sz w:val="15"/>
                <w:szCs w:val="21"/>
                <w:lang w:bidi="ar"/>
              </w:rPr>
              <w:t>/min内机动空压机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226.29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701.50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液压动力柜功率5kW</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32.76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1t/h以内工业锅炉</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1.00</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49.98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26.26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2t/h以内工业锅炉</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2.00</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79.38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42.52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4t/h以内工业锅炉</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3.00</w:t>
            </w: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120.54</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32.69</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101.34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65.37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202.65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147kW以内内燃拖轮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101.03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313.19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176kW以内内燃拖轮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221kW以内内燃拖轮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151.55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469.81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294kW以内内燃拖轮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201.60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624.96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368kW以内内燃拖轮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252.35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782.29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277.21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859.35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588kW以内内燃拖轮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369.61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1145.79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794kW以内内燃拖轮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499.10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1547.21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882kW以内内燃拖轮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554.41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1718.67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1228kW以内内燃拖轮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701.73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2175.36</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1441kW以内内燃拖轮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823.45</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2552.70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1941kW以内内燃拖轮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1109.17</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3438.43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2353kW以内内燃拖轮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1210.14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3751.43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2500kW以内内燃拖轮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1285.74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3985.79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2942kW以内内燃拖轮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1513.06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4690.49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装载质量800t内自航式工程驳船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589.84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1828.50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容量1000m</w:t>
            </w:r>
            <w:r>
              <w:rPr>
                <w:rFonts w:hint="eastAsia" w:cs="等线"/>
                <w:sz w:val="15"/>
                <w:szCs w:val="21"/>
                <w:vertAlign w:val="superscript"/>
                <w:lang w:bidi="ar"/>
              </w:rPr>
              <w:t>3</w:t>
            </w:r>
            <w:r>
              <w:rPr>
                <w:rFonts w:hint="eastAsia" w:cs="等线"/>
                <w:sz w:val="15"/>
                <w:szCs w:val="21"/>
                <w:lang w:bidi="ar"/>
              </w:rPr>
              <w:t>以内泥浆船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555.00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1720.50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桩架高60m以内打桩船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273.38</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847.48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桩架高80m以内打桩船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546.01</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1692.63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桩架高100m以内打桩船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704.24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2183.14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272kN·m内船用柴油打桩锤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334kN·m内船用柴油打桩锤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37.44</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116.06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417kN·m内船用柴油打桩锤</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48.36</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149.92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262.00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812.20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130t以内旋转扒杆起重船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729.00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2259.90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941.30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2918.03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350t以内旋转扒杆起重船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1166.00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3614.60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181.00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297.00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920.70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341.00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1057.10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385.00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1193.50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500.50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1551.55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889.00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2755.90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600t以内固定扒杆起重船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1155.70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3582.67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100m</w:t>
            </w:r>
            <w:r>
              <w:rPr>
                <w:rFonts w:hint="eastAsia" w:cs="等线"/>
                <w:sz w:val="15"/>
                <w:szCs w:val="21"/>
                <w:vertAlign w:val="superscript"/>
                <w:lang w:bidi="ar"/>
              </w:rPr>
              <w:t>3</w:t>
            </w:r>
            <w:r>
              <w:rPr>
                <w:rFonts w:hint="eastAsia" w:cs="等线"/>
                <w:sz w:val="15"/>
                <w:szCs w:val="21"/>
                <w:lang w:bidi="ar"/>
              </w:rPr>
              <w:t>/h以内混凝土搅拌船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406.00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120m</w:t>
            </w:r>
            <w:r>
              <w:rPr>
                <w:rFonts w:hint="eastAsia" w:cs="等线"/>
                <w:sz w:val="15"/>
                <w:szCs w:val="21"/>
                <w:vertAlign w:val="superscript"/>
                <w:lang w:bidi="ar"/>
              </w:rPr>
              <w:t>3</w:t>
            </w:r>
            <w:r>
              <w:rPr>
                <w:rFonts w:hint="eastAsia" w:cs="等线"/>
                <w:sz w:val="15"/>
                <w:szCs w:val="21"/>
                <w:lang w:bidi="ar"/>
              </w:rPr>
              <w:t>/h以内混凝土搅拌船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435.00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1348.50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150m</w:t>
            </w:r>
            <w:r>
              <w:rPr>
                <w:rFonts w:hint="eastAsia" w:cs="等线"/>
                <w:sz w:val="15"/>
                <w:szCs w:val="21"/>
                <w:vertAlign w:val="superscript"/>
                <w:lang w:bidi="ar"/>
              </w:rPr>
              <w:t>3</w:t>
            </w:r>
            <w:r>
              <w:rPr>
                <w:rFonts w:hint="eastAsia" w:cs="等线"/>
                <w:sz w:val="15"/>
                <w:szCs w:val="21"/>
                <w:lang w:bidi="ar"/>
              </w:rPr>
              <w:t>/h以内混凝土搅拌船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480.00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1488.00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240kW以内抛锚船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283.00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877.30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373kW以内抛锚船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340.00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1054.00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522kW以内抛锚船</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458.00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1419.80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123kW以内机动艇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93.00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288.30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198kW以内机动艇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160.00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496.00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光纤测试仪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局域网电缆测试仪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微机硬盘测试仪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误码率测试仪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PCM通道测试仪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信令分析仪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网络分析仪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频谱分析仪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继电保护测试仪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三相精密测试电源</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电能校验仪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记录仪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真空断路器测试仪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光纤熔接机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光时域反射仪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光功率计</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场强仪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数字存储示波器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示波器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双通道示波器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数显频率发生器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彩色监视器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电视测试信号发生器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便携式计算机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0.80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数字多用表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微波频率计</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高压试验变压器全套装置</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直流高压发生器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轻型试验变压器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数字高压表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噪声监测仪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接地电阻检测仪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接地电阻检测仪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绝缘电阻测试仪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数字式温湿度测试仪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手持式测速器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电缆故障测试仪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变压器电阻测试仪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过程校验仪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手提式吸尘器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专用手提式吸尘器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视频信号发生器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0.70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交直流钳型电流表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对讲机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数字LCR表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红外点温仪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风速测试仪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亮度检测仪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视频监控测试仪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兆欧表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网通仪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照度计</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数字压力表</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蓄电池测量仪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手提式吹风机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42.51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159.40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77.47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212.53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398.49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193.67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531.33</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258.23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584.46</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284.05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796.99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387.34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200kW内轴流式通风机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1168.92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568.10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506～708m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756～899m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170.02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82.63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900～1259m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446.31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216.91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1200～1678m</w:t>
            </w:r>
            <w:r>
              <w:rPr>
                <w:rFonts w:hint="eastAsia" w:cs="等线"/>
                <w:sz w:val="15"/>
                <w:szCs w:val="21"/>
                <w:vertAlign w:val="superscript"/>
                <w:lang w:bidi="ar"/>
              </w:rPr>
              <w:t>3</w:t>
            </w:r>
            <w:r>
              <w:rPr>
                <w:rFonts w:hint="eastAsia" w:cs="等线"/>
                <w:sz w:val="15"/>
                <w:szCs w:val="21"/>
                <w:lang w:bidi="ar"/>
              </w:rPr>
              <w:t>/min内离心式通风机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318.80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154.94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1523～2132/min内离心式通风机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637.59</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309.87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4m</w:t>
            </w:r>
            <w:r>
              <w:rPr>
                <w:rFonts w:hint="eastAsia" w:cs="等线"/>
                <w:sz w:val="15"/>
                <w:szCs w:val="21"/>
                <w:vertAlign w:val="superscript"/>
                <w:lang w:bidi="ar"/>
              </w:rPr>
              <w:t>3</w:t>
            </w:r>
            <w:r>
              <w:rPr>
                <w:rFonts w:hint="eastAsia" w:cs="等线"/>
                <w:sz w:val="15"/>
                <w:szCs w:val="21"/>
                <w:lang w:bidi="ar"/>
              </w:rPr>
              <w:t>/min吹风机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69.07</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8m</w:t>
            </w:r>
            <w:r>
              <w:rPr>
                <w:rFonts w:hint="eastAsia" w:cs="等线"/>
                <w:sz w:val="15"/>
                <w:szCs w:val="21"/>
                <w:vertAlign w:val="superscript"/>
                <w:lang w:bidi="ar"/>
              </w:rPr>
              <w:t>3</w:t>
            </w:r>
            <w:r>
              <w:rPr>
                <w:rFonts w:hint="eastAsia" w:cs="等线"/>
                <w:sz w:val="15"/>
                <w:szCs w:val="21"/>
                <w:lang w:bidi="ar"/>
              </w:rPr>
              <w:t>/min以内鼓风机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85.01</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41.31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18m</w:t>
            </w:r>
            <w:r>
              <w:rPr>
                <w:rFonts w:hint="eastAsia" w:cs="等线"/>
                <w:sz w:val="15"/>
                <w:szCs w:val="21"/>
                <w:vertAlign w:val="superscript"/>
                <w:lang w:bidi="ar"/>
              </w:rPr>
              <w:t>3</w:t>
            </w:r>
            <w:r>
              <w:rPr>
                <w:rFonts w:hint="eastAsia" w:cs="等线"/>
                <w:sz w:val="15"/>
                <w:szCs w:val="21"/>
                <w:lang w:bidi="ar"/>
              </w:rPr>
              <w:t>/min以内鼓风机</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207.22</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100.71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喷砂除锈设备</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42.60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20.70</w:t>
            </w:r>
          </w:p>
        </w:tc>
      </w:tr>
    </w:tbl>
    <w:p>
      <w:pPr>
        <w:spacing w:line="240" w:lineRule="auto"/>
        <w:jc w:val="center"/>
        <w:rPr>
          <w:rFonts w:cs="等线"/>
          <w:bCs/>
          <w:sz w:val="18"/>
          <w:szCs w:val="21"/>
          <w:lang w:bidi="ar"/>
        </w:rPr>
      </w:pPr>
    </w:p>
    <w:p>
      <w:pPr>
        <w:spacing w:line="240" w:lineRule="auto"/>
        <w:jc w:val="center"/>
        <w:rPr>
          <w:b/>
          <w:bCs/>
          <w:szCs w:val="21"/>
        </w:rP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6</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936"/>
        <w:gridCol w:w="937"/>
        <w:gridCol w:w="937"/>
        <w:gridCol w:w="937"/>
        <w:gridCol w:w="942"/>
        <w:gridCol w:w="12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restart"/>
            <w:noWrap/>
            <w:vAlign w:val="center"/>
          </w:tcPr>
          <w:p>
            <w:pPr>
              <w:spacing w:line="240" w:lineRule="auto"/>
              <w:jc w:val="center"/>
              <w:textAlignment w:val="bottom"/>
              <w:rPr>
                <w:rFonts w:cs="等线"/>
                <w:sz w:val="15"/>
                <w:szCs w:val="21"/>
                <w:lang w:bidi="ar"/>
              </w:rPr>
            </w:pPr>
            <w:r>
              <w:rPr>
                <w:rFonts w:hint="eastAsia"/>
                <w:sz w:val="15"/>
              </w:rPr>
              <w:t>机械设备名称与规格</w:t>
            </w:r>
          </w:p>
        </w:tc>
        <w:tc>
          <w:tcPr>
            <w:tcW w:w="2473" w:type="pct"/>
            <w:gridSpan w:val="5"/>
            <w:noWrap/>
            <w:vAlign w:val="center"/>
          </w:tcPr>
          <w:p>
            <w:pPr>
              <w:spacing w:line="240" w:lineRule="auto"/>
              <w:jc w:val="center"/>
              <w:textAlignment w:val="bottom"/>
              <w:rPr>
                <w:rFonts w:cs="等线"/>
                <w:sz w:val="15"/>
                <w:szCs w:val="21"/>
                <w:lang w:bidi="ar"/>
              </w:rPr>
            </w:pPr>
            <w:r>
              <w:rPr>
                <w:rFonts w:hint="eastAsia"/>
                <w:sz w:val="15"/>
              </w:rPr>
              <w:t>能源用量</w:t>
            </w:r>
          </w:p>
        </w:tc>
        <w:tc>
          <w:tcPr>
            <w:tcW w:w="677" w:type="pct"/>
            <w:vMerge w:val="restart"/>
            <w:noWrap w:val="0"/>
            <w:vAlign w:val="center"/>
          </w:tcPr>
          <w:p>
            <w:pPr>
              <w:spacing w:line="240" w:lineRule="auto"/>
              <w:jc w:val="center"/>
              <w:textAlignment w:val="bottom"/>
              <w:rPr>
                <w:rFonts w:cs="等线"/>
                <w:sz w:val="15"/>
                <w:szCs w:val="21"/>
                <w:lang w:bidi="ar"/>
              </w:rPr>
            </w:pPr>
            <w:r>
              <w:rPr>
                <w:rFonts w:hint="eastAsia" w:cs="等线"/>
                <w:bCs/>
                <w:sz w:val="15"/>
                <w:szCs w:val="21"/>
                <w:lang w:bidi="ar"/>
              </w:rPr>
              <w:t>排放因子（kgCO</w:t>
            </w:r>
            <w:r>
              <w:rPr>
                <w:rFonts w:hint="eastAsia" w:cs="等线"/>
                <w:bCs/>
                <w:sz w:val="15"/>
                <w:szCs w:val="21"/>
                <w:vertAlign w:val="subscript"/>
                <w:lang w:bidi="ar"/>
              </w:rPr>
              <w:t>2e</w:t>
            </w:r>
            <w:r>
              <w:rPr>
                <w:rFonts w:hint="eastAsia" w:cs="等线"/>
                <w:bCs/>
                <w:sz w:val="15"/>
                <w:szCs w:val="21"/>
                <w:lang w:bidi="ar"/>
              </w:rPr>
              <w:t>/台班）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vMerge w:val="continue"/>
            <w:noWrap/>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r>
              <w:rPr>
                <w:rFonts w:hint="eastAsia"/>
                <w:sz w:val="15"/>
              </w:rPr>
              <w:t>汽油（</w:t>
            </w:r>
            <w:r>
              <w:rPr>
                <w:sz w:val="15"/>
              </w:rPr>
              <w:t>kg</w:t>
            </w:r>
            <w:r>
              <w:rPr>
                <w:rFonts w:hint="eastAsia"/>
                <w:sz w:val="15"/>
              </w:rPr>
              <w:t>）</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柴油(kg)</w:t>
            </w:r>
          </w:p>
        </w:tc>
        <w:tc>
          <w:tcPr>
            <w:tcW w:w="494" w:type="pct"/>
            <w:noWrap/>
            <w:vAlign w:val="center"/>
          </w:tcPr>
          <w:p>
            <w:pPr>
              <w:spacing w:line="240" w:lineRule="auto"/>
              <w:jc w:val="center"/>
              <w:textAlignment w:val="bottom"/>
              <w:rPr>
                <w:rFonts w:cs="等线"/>
                <w:sz w:val="15"/>
                <w:szCs w:val="21"/>
                <w:lang w:bidi="ar"/>
              </w:rPr>
            </w:pPr>
            <w:r>
              <w:rPr>
                <w:sz w:val="15"/>
              </w:rPr>
              <w:t>重油（kg）</w:t>
            </w:r>
          </w:p>
        </w:tc>
        <w:tc>
          <w:tcPr>
            <w:tcW w:w="494" w:type="pct"/>
            <w:noWrap w:val="0"/>
            <w:vAlign w:val="center"/>
          </w:tcPr>
          <w:p>
            <w:pPr>
              <w:spacing w:line="240" w:lineRule="auto"/>
              <w:jc w:val="center"/>
              <w:textAlignment w:val="bottom"/>
              <w:rPr>
                <w:rFonts w:cs="等线"/>
                <w:sz w:val="15"/>
                <w:szCs w:val="21"/>
                <w:lang w:bidi="ar"/>
              </w:rPr>
            </w:pPr>
            <w:r>
              <w:rPr>
                <w:rFonts w:hint="eastAsia"/>
                <w:sz w:val="15"/>
              </w:rPr>
              <w:t>煤（kg）</w:t>
            </w:r>
          </w:p>
        </w:tc>
        <w:tc>
          <w:tcPr>
            <w:tcW w:w="497" w:type="pct"/>
            <w:noWrap/>
            <w:vAlign w:val="center"/>
          </w:tcPr>
          <w:p>
            <w:pPr>
              <w:spacing w:line="240" w:lineRule="auto"/>
              <w:jc w:val="center"/>
              <w:textAlignment w:val="bottom"/>
              <w:rPr>
                <w:rFonts w:cs="等线"/>
                <w:sz w:val="15"/>
                <w:szCs w:val="21"/>
                <w:lang w:bidi="ar"/>
              </w:rPr>
            </w:pPr>
            <w:r>
              <w:rPr>
                <w:rFonts w:hint="eastAsia"/>
                <w:sz w:val="15"/>
              </w:rPr>
              <w:t>电（</w:t>
            </w:r>
            <w:r>
              <w:rPr>
                <w:sz w:val="15"/>
              </w:rPr>
              <w:t>KWh</w:t>
            </w:r>
            <w:r>
              <w:rPr>
                <w:rFonts w:hint="eastAsia"/>
                <w:sz w:val="15"/>
              </w:rPr>
              <w:t>）</w:t>
            </w:r>
          </w:p>
        </w:tc>
        <w:tc>
          <w:tcPr>
            <w:tcW w:w="677" w:type="pct"/>
            <w:vMerge w:val="continue"/>
            <w:noWrap w:val="0"/>
            <w:vAlign w:val="center"/>
          </w:tcPr>
          <w:p>
            <w:pPr>
              <w:spacing w:line="240" w:lineRule="auto"/>
              <w:jc w:val="center"/>
              <w:textAlignment w:val="bottom"/>
              <w:rPr>
                <w:rFonts w:cs="等线"/>
                <w:sz w:val="15"/>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液压无气喷漆设备生产率1200m</w:t>
            </w:r>
            <w:r>
              <w:rPr>
                <w:rFonts w:hint="eastAsia" w:cs="等线"/>
                <w:sz w:val="15"/>
                <w:szCs w:val="21"/>
                <w:vertAlign w:val="superscript"/>
                <w:lang w:bidi="ar"/>
              </w:rPr>
              <w:t>2</w:t>
            </w:r>
            <w:r>
              <w:rPr>
                <w:rFonts w:hint="eastAsia" w:cs="等线"/>
                <w:sz w:val="15"/>
                <w:szCs w:val="21"/>
                <w:lang w:bidi="ar"/>
              </w:rPr>
              <w:t>/h</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23.68</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70kW以内工程修理车</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42.85</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125.12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90kW以内工程修理车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51.43</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159.43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光源</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强光照明灯</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1.00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强光手电</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0.20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油枪</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0.50</w:t>
            </w: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管道疏通机</w:t>
            </w:r>
          </w:p>
        </w:tc>
        <w:tc>
          <w:tcPr>
            <w:tcW w:w="494"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20.08</w:t>
            </w:r>
          </w:p>
        </w:tc>
        <w:tc>
          <w:tcPr>
            <w:tcW w:w="494" w:type="pct"/>
            <w:noWrap w:val="0"/>
            <w:vAlign w:val="center"/>
          </w:tcPr>
          <w:p>
            <w:pPr>
              <w:spacing w:line="240" w:lineRule="auto"/>
              <w:jc w:val="center"/>
              <w:textAlignment w:val="bottom"/>
              <w:rPr>
                <w:rFonts w:cs="等线"/>
                <w:sz w:val="15"/>
                <w:szCs w:val="21"/>
                <w:lang w:bidi="ar"/>
              </w:rPr>
            </w:pP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58.63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50"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隧道三维激光扫描检测车</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r>
              <w:rPr>
                <w:rFonts w:hint="eastAsia" w:cs="等线"/>
                <w:sz w:val="15"/>
                <w:szCs w:val="21"/>
                <w:lang w:bidi="ar"/>
              </w:rPr>
              <w:t>1.20</w:t>
            </w:r>
          </w:p>
        </w:tc>
        <w:tc>
          <w:tcPr>
            <w:tcW w:w="494" w:type="pct"/>
            <w:noWrap/>
            <w:vAlign w:val="center"/>
          </w:tcPr>
          <w:p>
            <w:pPr>
              <w:spacing w:line="240" w:lineRule="auto"/>
              <w:jc w:val="center"/>
              <w:textAlignment w:val="bottom"/>
              <w:rPr>
                <w:rFonts w:cs="等线"/>
                <w:sz w:val="15"/>
                <w:szCs w:val="21"/>
                <w:lang w:bidi="ar"/>
              </w:rPr>
            </w:pPr>
          </w:p>
        </w:tc>
        <w:tc>
          <w:tcPr>
            <w:tcW w:w="494" w:type="pct"/>
            <w:noWrap w:val="0"/>
            <w:vAlign w:val="center"/>
          </w:tcPr>
          <w:p>
            <w:pPr>
              <w:spacing w:line="240" w:lineRule="auto"/>
              <w:jc w:val="center"/>
              <w:textAlignment w:val="bottom"/>
              <w:rPr>
                <w:rFonts w:cs="等线"/>
                <w:sz w:val="15"/>
                <w:szCs w:val="21"/>
                <w:lang w:bidi="ar"/>
              </w:rPr>
            </w:pPr>
          </w:p>
        </w:tc>
        <w:tc>
          <w:tcPr>
            <w:tcW w:w="497" w:type="pct"/>
            <w:noWrap/>
            <w:vAlign w:val="center"/>
          </w:tcPr>
          <w:p>
            <w:pPr>
              <w:spacing w:line="240" w:lineRule="auto"/>
              <w:jc w:val="center"/>
              <w:textAlignment w:val="bottom"/>
              <w:rPr>
                <w:rFonts w:cs="等线"/>
                <w:sz w:val="15"/>
                <w:szCs w:val="21"/>
                <w:lang w:bidi="ar"/>
              </w:rPr>
            </w:pPr>
          </w:p>
        </w:tc>
        <w:tc>
          <w:tcPr>
            <w:tcW w:w="677" w:type="pct"/>
            <w:noWrap w:val="0"/>
            <w:vAlign w:val="center"/>
          </w:tcPr>
          <w:p>
            <w:pPr>
              <w:spacing w:line="240" w:lineRule="auto"/>
              <w:jc w:val="center"/>
              <w:textAlignment w:val="bottom"/>
              <w:rPr>
                <w:rFonts w:cs="等线"/>
                <w:sz w:val="15"/>
                <w:szCs w:val="21"/>
                <w:lang w:bidi="ar"/>
              </w:rPr>
            </w:pPr>
            <w:r>
              <w:rPr>
                <w:rFonts w:cs="等线"/>
                <w:sz w:val="15"/>
                <w:szCs w:val="21"/>
                <w:lang w:bidi="ar"/>
              </w:rPr>
              <w:t>3.72</w:t>
            </w:r>
          </w:p>
        </w:tc>
      </w:tr>
    </w:tbl>
    <w:p>
      <w:pPr>
        <w:spacing w:line="240" w:lineRule="auto"/>
        <w:jc w:val="left"/>
        <w:textAlignment w:val="center"/>
        <w:rPr>
          <w:b/>
          <w:bCs/>
          <w:szCs w:val="21"/>
        </w:rPr>
      </w:pPr>
      <w:r>
        <w:rPr>
          <w:rFonts w:hint="eastAsia" w:cs="等线 Light"/>
          <w:sz w:val="15"/>
          <w:szCs w:val="21"/>
        </w:rPr>
        <w:t>注：重油的碳排放因子数据来源于《公路工程碳排放估算指标（试行）》Q/CCCG 106。</w:t>
      </w:r>
    </w:p>
    <w:p>
      <w:pPr>
        <w:spacing w:line="240" w:lineRule="auto"/>
        <w:rPr>
          <w:szCs w:val="21"/>
        </w:rPr>
      </w:pPr>
      <w:r>
        <w:rPr>
          <w:rFonts w:hint="eastAsia"/>
          <w:b/>
          <w:bCs/>
          <w:szCs w:val="21"/>
        </w:rPr>
        <w:t>B</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7</w:t>
      </w:r>
      <w:r>
        <w:rPr>
          <w:rFonts w:hint="eastAsia"/>
          <w:szCs w:val="21"/>
        </w:rPr>
        <w:t xml:space="preserve"> </w:t>
      </w:r>
      <w:r>
        <w:rPr>
          <w:szCs w:val="21"/>
        </w:rPr>
        <w:t xml:space="preserve"> </w:t>
      </w:r>
      <w:r>
        <w:rPr>
          <w:rFonts w:hint="eastAsia"/>
          <w:szCs w:val="21"/>
        </w:rPr>
        <w:t>运输方式的碳排放因子表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8"/>
        <w:gridCol w:w="27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bCs/>
                <w:sz w:val="15"/>
                <w:szCs w:val="21"/>
              </w:rPr>
            </w:pPr>
            <w:r>
              <w:rPr>
                <w:rFonts w:cs="宋体"/>
                <w:bCs/>
                <w:sz w:val="15"/>
                <w:szCs w:val="21"/>
                <w:lang w:bidi="ar"/>
              </w:rPr>
              <w:t>运输方式类别</w:t>
            </w:r>
          </w:p>
        </w:tc>
        <w:tc>
          <w:tcPr>
            <w:tcW w:w="1457"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sz w:val="15"/>
              </w:rPr>
            </w:pPr>
            <w:r>
              <w:rPr>
                <w:rFonts w:hint="eastAsia" w:cs="宋体"/>
                <w:bCs/>
                <w:sz w:val="15"/>
                <w:szCs w:val="21"/>
                <w:lang w:bidi="ar"/>
              </w:rPr>
              <w:t>[</w:t>
            </w:r>
            <w:r>
              <w:rPr>
                <w:rFonts w:hint="eastAsia"/>
                <w:sz w:val="15"/>
                <w:szCs w:val="21"/>
              </w:rPr>
              <w:t>kgCO</w:t>
            </w:r>
            <w:r>
              <w:rPr>
                <w:sz w:val="15"/>
                <w:szCs w:val="21"/>
                <w:vertAlign w:val="subscript"/>
              </w:rPr>
              <w:t>2</w:t>
            </w:r>
            <w:r>
              <w:rPr>
                <w:rFonts w:hint="eastAsia"/>
                <w:sz w:val="15"/>
                <w:szCs w:val="21"/>
                <w:vertAlign w:val="subscript"/>
              </w:rPr>
              <w:t>e</w:t>
            </w:r>
            <w:r>
              <w:rPr>
                <w:rFonts w:hint="eastAsia"/>
                <w:sz w:val="15"/>
                <w:szCs w:val="21"/>
              </w:rPr>
              <w:t>/(t</w:t>
            </w:r>
            <w:r>
              <w:rPr>
                <w:rFonts w:hint="eastAsia" w:cs="微软雅黑"/>
                <w:sz w:val="15"/>
                <w:szCs w:val="21"/>
              </w:rPr>
              <w:t>·</w:t>
            </w:r>
            <w:r>
              <w:rPr>
                <w:rFonts w:hint="eastAsia"/>
                <w:sz w:val="15"/>
                <w:szCs w:val="21"/>
              </w:rPr>
              <w:t>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轻型汽油货车运输（载重2t）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0.334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中型汽油货车运输（载重8t）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重型汽油货车运输（载重10t）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lang w:bidi="ar"/>
              </w:rPr>
            </w:pPr>
            <w:r>
              <w:rPr>
                <w:rFonts w:cs="宋体"/>
                <w:sz w:val="15"/>
                <w:szCs w:val="21"/>
                <w:lang w:bidi="ar"/>
              </w:rPr>
              <w:t>重型汽油货车运输（载重18t）</w:t>
            </w:r>
          </w:p>
        </w:tc>
        <w:tc>
          <w:tcPr>
            <w:tcW w:w="1457" w:type="pct"/>
            <w:noWrap/>
            <w:vAlign w:val="center"/>
          </w:tcPr>
          <w:p>
            <w:pPr>
              <w:spacing w:line="240" w:lineRule="auto"/>
              <w:jc w:val="center"/>
              <w:textAlignment w:val="center"/>
              <w:rPr>
                <w:rFonts w:cs="宋体"/>
                <w:sz w:val="15"/>
                <w:szCs w:val="21"/>
                <w:lang w:bidi="ar"/>
              </w:rPr>
            </w:pPr>
            <w:r>
              <w:rPr>
                <w:rFonts w:cs="宋体"/>
                <w:sz w:val="15"/>
                <w:szCs w:val="21"/>
                <w:lang w:bidi="ar"/>
              </w:rPr>
              <w:t>0.104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0"/>
            <w:vAlign w:val="center"/>
          </w:tcPr>
          <w:p>
            <w:pPr>
              <w:spacing w:line="240" w:lineRule="auto"/>
              <w:jc w:val="center"/>
              <w:textAlignment w:val="bottom"/>
              <w:rPr>
                <w:rFonts w:cs="宋体"/>
                <w:sz w:val="15"/>
                <w:szCs w:val="21"/>
              </w:rPr>
            </w:pPr>
            <w:r>
              <w:rPr>
                <w:rFonts w:cs="宋体"/>
                <w:sz w:val="15"/>
                <w:szCs w:val="21"/>
                <w:lang w:bidi="ar"/>
              </w:rPr>
              <w:t>轻型柴油货车运输（载重2t）</w:t>
            </w:r>
          </w:p>
        </w:tc>
        <w:tc>
          <w:tcPr>
            <w:tcW w:w="1457" w:type="pct"/>
            <w:noWrap w:val="0"/>
            <w:vAlign w:val="center"/>
          </w:tcPr>
          <w:p>
            <w:pPr>
              <w:spacing w:line="240" w:lineRule="auto"/>
              <w:jc w:val="center"/>
              <w:textAlignment w:val="center"/>
              <w:rPr>
                <w:rFonts w:cs="宋体"/>
                <w:sz w:val="15"/>
                <w:szCs w:val="21"/>
              </w:rPr>
            </w:pPr>
            <w:r>
              <w:rPr>
                <w:rFonts w:cs="宋体"/>
                <w:sz w:val="15"/>
                <w:szCs w:val="21"/>
                <w:lang w:bidi="ar"/>
              </w:rPr>
              <w:t>0.286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中型柴油赛车运输（载重8t）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重型柴油货车运输（载重10t）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重型柴油货车运输（载重18t）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重型柴油货车运输（载重30t）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重型柴油货车运输（载重46t）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电力机车运输</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w:t>
            </w:r>
            <w:r>
              <w:rPr>
                <w:rFonts w:hint="eastAsia" w:cs="宋体"/>
                <w:sz w:val="15"/>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内燃机车运输</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铁路运输（中国市场平均）</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w:t>
            </w:r>
            <w:r>
              <w:rPr>
                <w:rFonts w:hint="eastAsia" w:cs="宋体"/>
                <w:sz w:val="15"/>
                <w:szCs w:val="21"/>
                <w:lang w:bidi="ar"/>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液货船运输（载重2000t）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0.019</w:t>
            </w:r>
          </w:p>
        </w:tc>
      </w:tr>
    </w:tbl>
    <w:p>
      <w:pPr>
        <w:spacing w:line="240" w:lineRule="auto"/>
        <w:jc w:val="center"/>
        <w:rPr>
          <w:rFonts w:cs="等线"/>
          <w:bCs/>
          <w:sz w:val="18"/>
          <w:szCs w:val="21"/>
          <w:lang w:bidi="ar"/>
        </w:rPr>
      </w:pPr>
    </w:p>
    <w:p>
      <w:pPr>
        <w:spacing w:line="240" w:lineRule="auto"/>
        <w:jc w:val="center"/>
      </w:pPr>
      <w:r>
        <w:rPr>
          <w:rFonts w:hint="eastAsia" w:cs="等线"/>
          <w:bCs/>
          <w:sz w:val="18"/>
          <w:szCs w:val="21"/>
          <w:lang w:bidi="ar"/>
        </w:rPr>
        <w:t>续表</w:t>
      </w:r>
      <w:r>
        <w:rPr>
          <w:rFonts w:hint="eastAsia" w:eastAsia="黑体" w:cs="黑体"/>
          <w:b/>
          <w:sz w:val="18"/>
          <w:szCs w:val="18"/>
        </w:rPr>
        <w:t>B</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7</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18"/>
        <w:gridCol w:w="27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lang w:bidi="ar"/>
              </w:rPr>
            </w:pPr>
            <w:r>
              <w:rPr>
                <w:rFonts w:cs="宋体"/>
                <w:bCs/>
                <w:sz w:val="15"/>
                <w:szCs w:val="21"/>
                <w:lang w:bidi="ar"/>
              </w:rPr>
              <w:t>运输方式类别</w:t>
            </w:r>
          </w:p>
        </w:tc>
        <w:tc>
          <w:tcPr>
            <w:tcW w:w="1457" w:type="pct"/>
            <w:noWrap/>
            <w:vAlign w:val="center"/>
          </w:tcPr>
          <w:p>
            <w:pPr>
              <w:spacing w:line="240" w:lineRule="auto"/>
              <w:jc w:val="center"/>
              <w:textAlignment w:val="center"/>
              <w:rPr>
                <w:rFonts w:cs="宋体"/>
                <w:bCs/>
                <w:sz w:val="15"/>
                <w:szCs w:val="21"/>
                <w:lang w:bidi="ar"/>
              </w:rPr>
            </w:pPr>
            <w:r>
              <w:rPr>
                <w:rFonts w:cs="宋体"/>
                <w:bCs/>
                <w:sz w:val="15"/>
                <w:szCs w:val="21"/>
                <w:lang w:bidi="ar"/>
              </w:rPr>
              <w:t>碳排放因子</w:t>
            </w:r>
          </w:p>
          <w:p>
            <w:pPr>
              <w:spacing w:line="240" w:lineRule="auto"/>
              <w:jc w:val="center"/>
              <w:textAlignment w:val="center"/>
              <w:rPr>
                <w:rFonts w:cs="宋体"/>
                <w:sz w:val="15"/>
                <w:szCs w:val="21"/>
                <w:lang w:bidi="ar"/>
              </w:rPr>
            </w:pPr>
            <w:r>
              <w:rPr>
                <w:rFonts w:hint="eastAsia" w:cs="宋体"/>
                <w:bCs/>
                <w:sz w:val="15"/>
                <w:szCs w:val="21"/>
                <w:lang w:bidi="ar"/>
              </w:rPr>
              <w:t>[</w:t>
            </w:r>
            <w:r>
              <w:rPr>
                <w:rFonts w:hint="eastAsia"/>
                <w:sz w:val="15"/>
                <w:szCs w:val="21"/>
              </w:rPr>
              <w:t>kgCO</w:t>
            </w:r>
            <w:r>
              <w:rPr>
                <w:sz w:val="15"/>
                <w:szCs w:val="21"/>
                <w:vertAlign w:val="subscript"/>
              </w:rPr>
              <w:t>2</w:t>
            </w:r>
            <w:r>
              <w:rPr>
                <w:rFonts w:hint="eastAsia"/>
                <w:sz w:val="15"/>
                <w:szCs w:val="21"/>
                <w:vertAlign w:val="subscript"/>
              </w:rPr>
              <w:t>e</w:t>
            </w:r>
            <w:r>
              <w:rPr>
                <w:rFonts w:hint="eastAsia"/>
                <w:sz w:val="15"/>
                <w:szCs w:val="21"/>
              </w:rPr>
              <w:t>/(t</w:t>
            </w:r>
            <w:r>
              <w:rPr>
                <w:rFonts w:hint="eastAsia" w:cs="微软雅黑"/>
                <w:sz w:val="15"/>
                <w:szCs w:val="21"/>
              </w:rPr>
              <w:t>·</w:t>
            </w:r>
            <w:r>
              <w:rPr>
                <w:rFonts w:hint="eastAsia"/>
                <w:sz w:val="15"/>
                <w:szCs w:val="21"/>
              </w:rPr>
              <w:t>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hint="eastAsia" w:cs="宋体"/>
                <w:sz w:val="15"/>
                <w:szCs w:val="21"/>
                <w:lang w:bidi="ar"/>
              </w:rPr>
              <w:t>干散</w:t>
            </w:r>
            <w:r>
              <w:rPr>
                <w:rFonts w:cs="宋体"/>
                <w:sz w:val="15"/>
                <w:szCs w:val="21"/>
                <w:lang w:bidi="ar"/>
              </w:rPr>
              <w:t>货船运输（载重2500t）</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3" w:type="pct"/>
            <w:noWrap/>
            <w:vAlign w:val="center"/>
          </w:tcPr>
          <w:p>
            <w:pPr>
              <w:spacing w:line="240" w:lineRule="auto"/>
              <w:jc w:val="center"/>
              <w:textAlignment w:val="bottom"/>
              <w:rPr>
                <w:rFonts w:cs="宋体"/>
                <w:sz w:val="15"/>
                <w:szCs w:val="21"/>
              </w:rPr>
            </w:pPr>
            <w:r>
              <w:rPr>
                <w:rFonts w:cs="宋体"/>
                <w:sz w:val="15"/>
                <w:szCs w:val="21"/>
                <w:lang w:bidi="ar"/>
              </w:rPr>
              <w:t>集装箱船运输（载重200TEU）</w:t>
            </w:r>
          </w:p>
        </w:tc>
        <w:tc>
          <w:tcPr>
            <w:tcW w:w="1457" w:type="pct"/>
            <w:noWrap/>
            <w:vAlign w:val="center"/>
          </w:tcPr>
          <w:p>
            <w:pPr>
              <w:spacing w:line="240" w:lineRule="auto"/>
              <w:jc w:val="center"/>
              <w:textAlignment w:val="center"/>
              <w:rPr>
                <w:rFonts w:cs="宋体"/>
                <w:sz w:val="15"/>
                <w:szCs w:val="21"/>
              </w:rPr>
            </w:pPr>
            <w:r>
              <w:rPr>
                <w:rFonts w:cs="宋体"/>
                <w:sz w:val="15"/>
                <w:szCs w:val="21"/>
                <w:lang w:bidi="ar"/>
              </w:rPr>
              <w:t>0.012</w:t>
            </w:r>
          </w:p>
        </w:tc>
      </w:tr>
    </w:tbl>
    <w:p>
      <w:pPr>
        <w:spacing w:line="240" w:lineRule="auto"/>
        <w:rPr>
          <w:bCs/>
          <w:sz w:val="15"/>
          <w:szCs w:val="15"/>
        </w:rPr>
      </w:pPr>
      <w:r>
        <w:rPr>
          <w:rFonts w:hint="eastAsia" w:cs="等线 Light"/>
          <w:sz w:val="15"/>
          <w:szCs w:val="21"/>
        </w:rPr>
        <w:t>注：</w:t>
      </w:r>
      <w:r>
        <w:rPr>
          <w:b/>
          <w:bCs/>
          <w:sz w:val="15"/>
          <w:szCs w:val="15"/>
        </w:rPr>
        <w:t>1</w:t>
      </w:r>
      <w:r>
        <w:rPr>
          <w:rFonts w:hint="eastAsia"/>
          <w:sz w:val="15"/>
          <w:szCs w:val="15"/>
        </w:rPr>
        <w:t xml:space="preserve"> </w:t>
      </w:r>
      <w:r>
        <w:rPr>
          <w:sz w:val="15"/>
          <w:szCs w:val="15"/>
        </w:rPr>
        <w:t xml:space="preserve"> </w:t>
      </w:r>
      <w:r>
        <w:rPr>
          <w:rFonts w:hint="eastAsia" w:cs="等线 Light"/>
          <w:sz w:val="15"/>
          <w:szCs w:val="21"/>
          <w:lang w:bidi="ar"/>
        </w:rPr>
        <w:t>本表格来源于《建筑碳排放计算标准》GB/T 51366</w:t>
      </w:r>
      <w:r>
        <w:rPr>
          <w:rFonts w:hint="eastAsia"/>
          <w:bCs/>
          <w:sz w:val="15"/>
          <w:szCs w:val="15"/>
        </w:rPr>
        <w:t>；</w:t>
      </w:r>
    </w:p>
    <w:p>
      <w:pPr>
        <w:spacing w:line="240" w:lineRule="auto"/>
        <w:ind w:firstLine="301" w:firstLineChars="200"/>
        <w:jc w:val="left"/>
        <w:textAlignment w:val="center"/>
        <w:rPr>
          <w:rFonts w:cs="等线 Light"/>
          <w:sz w:val="15"/>
          <w:szCs w:val="21"/>
        </w:rPr>
      </w:pPr>
      <w:r>
        <w:rPr>
          <w:b/>
          <w:bCs/>
          <w:sz w:val="15"/>
          <w:szCs w:val="15"/>
        </w:rPr>
        <w:t>2</w:t>
      </w:r>
      <w:r>
        <w:rPr>
          <w:rFonts w:hint="eastAsia"/>
          <w:b/>
          <w:bCs/>
          <w:sz w:val="15"/>
          <w:szCs w:val="15"/>
        </w:rPr>
        <w:t xml:space="preserve"> </w:t>
      </w:r>
      <w:r>
        <w:rPr>
          <w:sz w:val="15"/>
          <w:szCs w:val="15"/>
        </w:rPr>
        <w:t xml:space="preserve"> </w:t>
      </w:r>
      <w:r>
        <w:rPr>
          <w:rFonts w:hint="eastAsia" w:cs="等线 Light"/>
          <w:sz w:val="15"/>
          <w:szCs w:val="21"/>
        </w:rPr>
        <w:t>混凝土的默认运输距离值为40km，其他材料的默认运输距离值为500km。</w:t>
      </w:r>
    </w:p>
    <w:p/>
    <w:p>
      <w:pPr>
        <w:widowControl/>
        <w:spacing w:line="240" w:lineRule="auto"/>
        <w:jc w:val="left"/>
      </w:pPr>
      <w:r>
        <w:br w:type="page"/>
      </w:r>
    </w:p>
    <w:p>
      <w:pPr>
        <w:keepNext/>
        <w:keepLines/>
        <w:spacing w:before="360" w:after="360" w:line="240" w:lineRule="auto"/>
        <w:jc w:val="center"/>
        <w:outlineLvl w:val="0"/>
        <w:rPr>
          <w:rStyle w:val="19"/>
          <w:rFonts w:ascii="宋体" w:hAnsi="宋体" w:eastAsia="宋体"/>
          <w:b w:val="0"/>
          <w:bCs w:val="0"/>
          <w:sz w:val="28"/>
          <w:szCs w:val="28"/>
        </w:rPr>
      </w:pPr>
      <w:bookmarkStart w:id="364" w:name="_Toc160030742"/>
      <w:bookmarkStart w:id="365" w:name="_Toc160031004"/>
      <w:bookmarkStart w:id="366" w:name="_Toc161134686"/>
      <w:bookmarkStart w:id="367" w:name="_Toc160032829"/>
      <w:r>
        <w:rPr>
          <w:rStyle w:val="19"/>
          <w:rFonts w:hint="eastAsia" w:ascii="宋体" w:hAnsi="宋体" w:eastAsia="宋体"/>
          <w:b w:val="0"/>
          <w:bCs w:val="0"/>
          <w:sz w:val="28"/>
          <w:szCs w:val="28"/>
        </w:rPr>
        <w:t>附录</w:t>
      </w:r>
      <w:r>
        <w:rPr>
          <w:rStyle w:val="19"/>
          <w:rFonts w:hint="eastAsia" w:ascii="Times New Roman" w:hAnsi="Times New Roman" w:cs="Times New Roman"/>
          <w:sz w:val="28"/>
          <w:szCs w:val="28"/>
        </w:rPr>
        <w:t>C</w:t>
      </w:r>
      <w:r>
        <w:rPr>
          <w:rStyle w:val="19"/>
          <w:rFonts w:hint="eastAsia" w:ascii="宋体" w:hAnsi="宋体"/>
          <w:sz w:val="28"/>
          <w:szCs w:val="28"/>
        </w:rPr>
        <w:t xml:space="preserve">  </w:t>
      </w:r>
      <w:r>
        <w:rPr>
          <w:rStyle w:val="19"/>
          <w:rFonts w:hint="eastAsia" w:ascii="宋体" w:hAnsi="宋体" w:eastAsia="宋体"/>
          <w:b w:val="0"/>
          <w:bCs w:val="0"/>
          <w:sz w:val="28"/>
          <w:szCs w:val="28"/>
        </w:rPr>
        <w:t>碳汇</w:t>
      </w:r>
      <w:bookmarkEnd w:id="364"/>
      <w:bookmarkEnd w:id="365"/>
      <w:bookmarkEnd w:id="366"/>
      <w:bookmarkEnd w:id="367"/>
    </w:p>
    <w:p>
      <w:pPr>
        <w:spacing w:line="240" w:lineRule="auto"/>
        <w:rPr>
          <w:szCs w:val="21"/>
        </w:rPr>
      </w:pPr>
      <w:r>
        <w:rPr>
          <w:rFonts w:hint="eastAsia"/>
          <w:b/>
          <w:bCs/>
          <w:szCs w:val="21"/>
        </w:rPr>
        <w:t>C</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1</w:t>
      </w:r>
      <w:r>
        <w:rPr>
          <w:rFonts w:hint="eastAsia"/>
          <w:szCs w:val="21"/>
        </w:rPr>
        <w:t xml:space="preserve"> </w:t>
      </w:r>
      <w:r>
        <w:rPr>
          <w:szCs w:val="21"/>
        </w:rPr>
        <w:t xml:space="preserve"> </w:t>
      </w:r>
      <w:r>
        <w:rPr>
          <w:rFonts w:hint="eastAsia"/>
          <w:szCs w:val="21"/>
        </w:rPr>
        <w:t>不同种植方式单位面积一年CO</w:t>
      </w:r>
      <w:r>
        <w:rPr>
          <w:rFonts w:hint="eastAsia"/>
          <w:szCs w:val="21"/>
          <w:vertAlign w:val="subscript"/>
        </w:rPr>
        <w:t>2</w:t>
      </w:r>
      <w:r>
        <w:rPr>
          <w:rFonts w:hint="eastAsia"/>
          <w:szCs w:val="21"/>
        </w:rPr>
        <w:t>固定量比较表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608"/>
        <w:gridCol w:w="532"/>
        <w:gridCol w:w="11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bCs/>
                <w:sz w:val="15"/>
                <w:szCs w:val="21"/>
              </w:rPr>
            </w:pPr>
            <w:r>
              <w:rPr>
                <w:rFonts w:hint="eastAsia" w:cs="等线"/>
                <w:bCs/>
                <w:sz w:val="15"/>
                <w:szCs w:val="21"/>
                <w:lang w:bidi="ar"/>
              </w:rPr>
              <w:t>种植方式</w:t>
            </w:r>
          </w:p>
        </w:tc>
        <w:tc>
          <w:tcPr>
            <w:tcW w:w="286"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类型</w:t>
            </w:r>
          </w:p>
          <w:p>
            <w:pPr>
              <w:spacing w:line="240" w:lineRule="auto"/>
              <w:jc w:val="center"/>
              <w:textAlignment w:val="bottom"/>
              <w:rPr>
                <w:rFonts w:cs="等线"/>
                <w:bCs/>
                <w:sz w:val="15"/>
                <w:szCs w:val="21"/>
              </w:rPr>
            </w:pPr>
            <w:r>
              <w:rPr>
                <w:rFonts w:hint="eastAsia" w:cs="等线"/>
                <w:bCs/>
                <w:sz w:val="15"/>
                <w:szCs w:val="21"/>
                <w:lang w:bidi="ar"/>
              </w:rPr>
              <w:t>编号</w:t>
            </w:r>
          </w:p>
        </w:tc>
        <w:tc>
          <w:tcPr>
            <w:tcW w:w="621"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CO</w:t>
            </w:r>
            <w:r>
              <w:rPr>
                <w:rFonts w:hint="eastAsia" w:cs="等线"/>
                <w:bCs/>
                <w:sz w:val="15"/>
                <w:szCs w:val="21"/>
                <w:vertAlign w:val="subscript"/>
                <w:lang w:bidi="ar"/>
              </w:rPr>
              <w:t>2</w:t>
            </w:r>
            <w:r>
              <w:rPr>
                <w:rFonts w:hint="eastAsia" w:cs="等线"/>
                <w:bCs/>
                <w:sz w:val="15"/>
                <w:szCs w:val="21"/>
                <w:lang w:bidi="ar"/>
              </w:rPr>
              <w:t>固定量</w:t>
            </w:r>
          </w:p>
          <w:p>
            <w:pPr>
              <w:spacing w:line="240" w:lineRule="auto"/>
              <w:jc w:val="center"/>
              <w:textAlignment w:val="bottom"/>
              <w:rPr>
                <w:rFonts w:cs="等线"/>
                <w:bCs/>
                <w:sz w:val="15"/>
                <w:szCs w:val="21"/>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大小乔木、灌木、花草密植混种区</w:t>
            </w:r>
          </w:p>
          <w:p>
            <w:pPr>
              <w:spacing w:line="240" w:lineRule="auto"/>
              <w:jc w:val="center"/>
              <w:textAlignment w:val="bottom"/>
              <w:rPr>
                <w:rFonts w:cs="等线"/>
                <w:sz w:val="15"/>
                <w:szCs w:val="21"/>
              </w:rPr>
            </w:pPr>
            <w:r>
              <w:rPr>
                <w:rFonts w:hint="eastAsia" w:cs="等线"/>
                <w:sz w:val="15"/>
                <w:szCs w:val="21"/>
                <w:lang w:bidi="ar"/>
              </w:rPr>
              <w:t>（乔木平均种植间距</w:t>
            </w:r>
            <m:oMath>
              <m:r>
                <m:rPr>
                  <m:sty m:val="p"/>
                </m:rPr>
                <w:rPr>
                  <w:rFonts w:hint="default" w:ascii="Cambria Math" w:hAnsi="Cambria Math" w:cs="等线"/>
                  <w:sz w:val="15"/>
                  <w:szCs w:val="21"/>
                  <w:lang w:bidi="ar-SA"/>
                </w:rPr>
                <m:t>&lt;</m:t>
              </m:r>
            </m:oMath>
            <w:r>
              <w:rPr>
                <w:rFonts w:hint="eastAsia" w:cs="等线"/>
                <w:sz w:val="15"/>
                <w:szCs w:val="21"/>
                <w:lang w:bidi="ar"/>
              </w:rPr>
              <w:t>3.0m，土壤深度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1</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大小乔木密植混种区（平均种植间距</w:t>
            </w:r>
            <m:oMath>
              <m:r>
                <m:rPr>
                  <m:sty m:val="p"/>
                </m:rPr>
                <w:rPr>
                  <w:rFonts w:hint="default" w:ascii="Cambria Math" w:hAnsi="Cambria Math" w:cs="等线"/>
                  <w:sz w:val="15"/>
                  <w:szCs w:val="21"/>
                  <w:lang w:bidi="ar-SA"/>
                </w:rPr>
                <m:t>&lt;</m:t>
              </m:r>
            </m:oMath>
            <w:r>
              <w:rPr>
                <w:rFonts w:hint="eastAsia" w:cs="等线"/>
                <w:sz w:val="15"/>
                <w:szCs w:val="21"/>
                <w:lang w:bidi="ar"/>
              </w:rPr>
              <w:t>3.0m，土壤深度</w:t>
            </w:r>
            <m:oMath>
              <m:r>
                <m:rPr>
                  <m:sty m:val="p"/>
                </m:rPr>
                <w:rPr>
                  <w:rFonts w:hint="default" w:ascii="Cambria Math" w:hAnsi="Cambria Math" w:cs="等线"/>
                  <w:sz w:val="15"/>
                  <w:szCs w:val="21"/>
                  <w:lang w:bidi="ar-SA"/>
                </w:rPr>
                <m:t>&gt;</m:t>
              </m:r>
            </m:oMath>
            <w:r>
              <w:rPr>
                <w:rFonts w:hint="eastAsia" w:cs="等线"/>
                <w:sz w:val="15"/>
                <w:szCs w:val="21"/>
                <w:lang w:bidi="ar"/>
              </w:rPr>
              <w:t>0.9m）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2</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落叶大乔木（土壤深度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3</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落叶小乔木、针叶木或疏叶性乔木（土壤深度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4</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13.43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大棕榈类（土壤深度</w:t>
            </w:r>
            <m:oMath>
              <m:r>
                <m:rPr>
                  <m:sty m:val="p"/>
                </m:rPr>
                <w:rPr>
                  <w:rFonts w:hint="default" w:ascii="Cambria Math" w:hAnsi="Cambria Math" w:cs="等线"/>
                  <w:sz w:val="15"/>
                  <w:szCs w:val="21"/>
                  <w:lang w:bidi="ar-SA"/>
                </w:rPr>
                <m:t>&gt;</m:t>
              </m:r>
            </m:oMath>
            <w:r>
              <w:rPr>
                <w:rFonts w:hint="eastAsia" w:cs="等线"/>
                <w:sz w:val="15"/>
                <w:szCs w:val="21"/>
                <w:lang w:bidi="ar"/>
              </w:rPr>
              <w:t>1.0m）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5</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密植灌木丛（高约1.3m，土壤深度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6</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密植灌木丛（高约0.9m，土壤深度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7</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8.15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密植灌木丛（高约0.45m，土壤深度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8</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5.13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多年生蔓藤（以立体攀附面积计算，土壤深度</w:t>
            </w:r>
            <m:oMath>
              <m:r>
                <m:rPr>
                  <m:sty m:val="p"/>
                </m:rPr>
                <w:rPr>
                  <w:rFonts w:hint="default" w:ascii="Cambria Math" w:hAnsi="Cambria Math" w:cs="等线"/>
                  <w:sz w:val="15"/>
                  <w:szCs w:val="21"/>
                  <w:lang w:bidi="ar-SA"/>
                </w:rPr>
                <m:t>&gt;</m:t>
              </m:r>
            </m:oMath>
            <w:r>
              <w:rPr>
                <w:rFonts w:hint="eastAsia" w:cs="等线"/>
                <w:sz w:val="15"/>
                <w:szCs w:val="21"/>
                <w:lang w:bidi="ar"/>
              </w:rPr>
              <w:t>0.5m）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9</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2.58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高草花花圃或高茎野草地（高约1.0m，土壤深度</w:t>
            </w:r>
            <m:oMath>
              <m:r>
                <m:rPr>
                  <m:sty m:val="p"/>
                </m:rPr>
                <w:rPr>
                  <w:rFonts w:hint="default" w:ascii="Cambria Math" w:hAnsi="Cambria Math" w:cs="等线"/>
                  <w:sz w:val="15"/>
                  <w:szCs w:val="21"/>
                  <w:lang w:bidi="ar-SA"/>
                </w:rPr>
                <m:t>&gt;</m:t>
              </m:r>
            </m:oMath>
            <w:r>
              <w:rPr>
                <w:rFonts w:hint="eastAsia" w:cs="等线"/>
                <w:sz w:val="15"/>
                <w:szCs w:val="21"/>
                <w:lang w:bidi="ar"/>
              </w:rPr>
              <w:t>0.3m）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10</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093" w:type="pct"/>
            <w:noWrap/>
            <w:vAlign w:val="center"/>
          </w:tcPr>
          <w:p>
            <w:pPr>
              <w:spacing w:line="240" w:lineRule="auto"/>
              <w:jc w:val="center"/>
              <w:textAlignment w:val="bottom"/>
              <w:rPr>
                <w:rFonts w:cs="等线"/>
                <w:sz w:val="15"/>
                <w:szCs w:val="21"/>
              </w:rPr>
            </w:pPr>
            <w:r>
              <w:rPr>
                <w:rFonts w:hint="eastAsia" w:cs="等线"/>
                <w:sz w:val="15"/>
                <w:szCs w:val="21"/>
                <w:lang w:bidi="ar"/>
              </w:rPr>
              <w:t>一年生蔓藤、低草花花圃或低茎野草地（高约0.25m，土壤深度</w:t>
            </w:r>
            <m:oMath>
              <m:r>
                <m:rPr>
                  <m:sty m:val="p"/>
                </m:rPr>
                <w:rPr>
                  <w:rFonts w:hint="default" w:ascii="Cambria Math" w:hAnsi="Cambria Math" w:cs="等线"/>
                  <w:sz w:val="15"/>
                  <w:szCs w:val="21"/>
                  <w:lang w:bidi="ar-SA"/>
                </w:rPr>
                <m:t>&gt;</m:t>
              </m:r>
            </m:oMath>
            <w:r>
              <w:rPr>
                <w:rFonts w:hint="eastAsia" w:cs="等线"/>
                <w:sz w:val="15"/>
                <w:szCs w:val="21"/>
                <w:lang w:bidi="ar"/>
              </w:rPr>
              <w:t>0.3m）</w:t>
            </w:r>
          </w:p>
        </w:tc>
        <w:tc>
          <w:tcPr>
            <w:tcW w:w="286" w:type="pct"/>
            <w:noWrap/>
            <w:vAlign w:val="center"/>
          </w:tcPr>
          <w:p>
            <w:pPr>
              <w:spacing w:line="240" w:lineRule="auto"/>
              <w:jc w:val="center"/>
              <w:textAlignment w:val="bottom"/>
              <w:rPr>
                <w:rFonts w:cs="等线"/>
                <w:sz w:val="15"/>
                <w:szCs w:val="21"/>
              </w:rPr>
            </w:pPr>
            <w:r>
              <w:rPr>
                <w:rFonts w:hint="eastAsia" w:cs="等线"/>
                <w:sz w:val="15"/>
                <w:szCs w:val="21"/>
                <w:lang w:bidi="ar"/>
              </w:rPr>
              <w:t>11</w:t>
            </w:r>
          </w:p>
        </w:tc>
        <w:tc>
          <w:tcPr>
            <w:tcW w:w="621" w:type="pct"/>
            <w:noWrap/>
            <w:vAlign w:val="center"/>
          </w:tcPr>
          <w:p>
            <w:pPr>
              <w:spacing w:line="240" w:lineRule="auto"/>
              <w:jc w:val="center"/>
              <w:textAlignment w:val="bottom"/>
              <w:rPr>
                <w:rFonts w:cs="等线"/>
                <w:sz w:val="15"/>
                <w:szCs w:val="21"/>
                <w:lang w:bidi="ar"/>
              </w:rPr>
            </w:pPr>
            <w:r>
              <w:rPr>
                <w:rFonts w:cs="等线"/>
                <w:sz w:val="15"/>
                <w:szCs w:val="21"/>
                <w:lang w:bidi="ar"/>
              </w:rPr>
              <w:t>0.35</w:t>
            </w:r>
          </w:p>
        </w:tc>
      </w:tr>
    </w:tbl>
    <w:p>
      <w:pPr>
        <w:spacing w:line="240" w:lineRule="auto"/>
        <w:jc w:val="left"/>
        <w:textAlignment w:val="center"/>
        <w:rPr>
          <w:b/>
          <w:bCs/>
          <w:szCs w:val="21"/>
        </w:rPr>
      </w:pPr>
      <w:r>
        <w:rPr>
          <w:rFonts w:hint="eastAsia" w:cs="等线 Light"/>
          <w:sz w:val="15"/>
          <w:szCs w:val="21"/>
        </w:rPr>
        <w:t>注：本表格来源于文献：全国工商联房地产商会, 精瑞（中国）不动产研究院. 中国绿色低碳住区减碳技术评估框架体系讨论稿节选[J]. 学术研究, 2010, 30-33。</w:t>
      </w:r>
    </w:p>
    <w:p>
      <w:pPr>
        <w:spacing w:line="240" w:lineRule="auto"/>
        <w:rPr>
          <w:szCs w:val="21"/>
        </w:rPr>
      </w:pPr>
      <w:r>
        <w:rPr>
          <w:rFonts w:hint="eastAsia"/>
          <w:b/>
          <w:bCs/>
          <w:szCs w:val="21"/>
        </w:rPr>
        <w:t>C</w:t>
      </w:r>
      <w:r>
        <w:rPr>
          <w:rFonts w:ascii="宋体" w:hAnsi="宋体"/>
          <w:b/>
          <w:bCs/>
          <w:szCs w:val="21"/>
        </w:rPr>
        <w:t>.</w:t>
      </w:r>
      <w:r>
        <w:rPr>
          <w:rFonts w:hint="eastAsia"/>
          <w:b/>
          <w:bCs/>
          <w:szCs w:val="21"/>
        </w:rPr>
        <w:t>0</w:t>
      </w:r>
      <w:r>
        <w:rPr>
          <w:rFonts w:ascii="宋体" w:hAnsi="宋体"/>
          <w:b/>
          <w:bCs/>
          <w:szCs w:val="21"/>
        </w:rPr>
        <w:t>.</w:t>
      </w:r>
      <w:r>
        <w:rPr>
          <w:rFonts w:hint="eastAsia"/>
          <w:b/>
          <w:bCs/>
          <w:szCs w:val="21"/>
        </w:rPr>
        <w:t>2</w:t>
      </w:r>
      <w:r>
        <w:rPr>
          <w:rFonts w:hint="eastAsia"/>
          <w:szCs w:val="21"/>
        </w:rPr>
        <w:t xml:space="preserve"> </w:t>
      </w:r>
      <w:r>
        <w:rPr>
          <w:szCs w:val="21"/>
        </w:rPr>
        <w:t xml:space="preserve"> </w:t>
      </w:r>
      <w:r>
        <w:rPr>
          <w:rFonts w:hint="eastAsia"/>
          <w:szCs w:val="21"/>
        </w:rPr>
        <w:t>不同植物固碳量表</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tblHeader/>
          <w:jc w:val="center"/>
        </w:trPr>
        <w:tc>
          <w:tcPr>
            <w:tcW w:w="3402"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bCs/>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马占相思 Acacia mangium</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 xml:space="preserve">大叶相思 Acacia </w:t>
            </w:r>
            <w:r>
              <w:rPr>
                <w:rFonts w:cs="等线"/>
                <w:sz w:val="15"/>
                <w:szCs w:val="21"/>
                <w:lang w:bidi="ar"/>
              </w:rPr>
              <w:t>auricul</w:t>
            </w:r>
            <w:r>
              <w:rPr>
                <w:rFonts w:hint="eastAsia" w:cs="等线"/>
                <w:sz w:val="15"/>
                <w:szCs w:val="21"/>
                <w:lang w:bidi="ar"/>
              </w:rPr>
              <w:t>ae</w:t>
            </w:r>
            <w:r>
              <w:rPr>
                <w:rFonts w:cs="等线"/>
                <w:sz w:val="15"/>
                <w:szCs w:val="21"/>
                <w:lang w:bidi="ar"/>
              </w:rPr>
              <w:t>formis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台湾相思 Acacia confusa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降真香 Acronychia pedunculata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水团花 Adina rubella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银柴 Aporosa dioica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假槟榔 Archontophoenix alexandrae</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波罗蜜 Artocarpus heterophyllus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bl>
    <w:p>
      <w:pPr>
        <w:spacing w:line="240" w:lineRule="auto"/>
        <w:jc w:val="center"/>
      </w:pPr>
      <w:r>
        <w:rPr>
          <w:rFonts w:hint="eastAsia" w:cs="等线"/>
          <w:bCs/>
          <w:sz w:val="18"/>
          <w:szCs w:val="21"/>
          <w:lang w:bidi="ar"/>
        </w:rPr>
        <w:t>续表</w:t>
      </w:r>
      <w:r>
        <w:rPr>
          <w:rFonts w:hint="eastAsia" w:eastAsia="黑体" w:cs="黑体"/>
          <w:b/>
          <w:sz w:val="18"/>
          <w:szCs w:val="18"/>
        </w:rPr>
        <w:t>C</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地毯草 Axonopus affonis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羊蹄甲 Bauhinia blakeana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秋枫 Bischofia javanica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木棉 Bombax malabaricum</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簕杜鹃 Bougainvillea spectabili</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红千层 Callistemon rigidus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油茶 Camellia oleifera Abel</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美人蕉 Canna generalis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福建茶 Carmona microphylla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短穗鱼尾葵 Caryca mitis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黧蒴 Castanopsis fissa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散尾葵 Chrysalidocarpus lutescens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麻楝 Chukrasia tabularis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阴香 Cinnamomum burmannii</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樟树 Cinnamomum camphor</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柑橘 Citrus reticulata Banco</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椰子 Cocos nucifera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黄牛木 Cratoxylum cochinchinenses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杉木 Cunninghamia laceolata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凤凰木 Delonix regia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人面子 Dracontomelon duperreanum</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假连翘 Duranta repens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桉树 Eucalyptus citriodora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三叉苦 Evodia lepta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红背桂 Excoecaria cochinchinensis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bl>
    <w:p>
      <w:pPr>
        <w:spacing w:line="240" w:lineRule="auto"/>
        <w:jc w:val="center"/>
        <w:rPr>
          <w:rFonts w:cs="等线"/>
          <w:bCs/>
          <w:sz w:val="18"/>
          <w:szCs w:val="21"/>
          <w:lang w:bidi="ar"/>
        </w:rPr>
      </w:pPr>
    </w:p>
    <w:p>
      <w:pPr>
        <w:spacing w:line="240" w:lineRule="auto"/>
        <w:jc w:val="center"/>
      </w:pPr>
      <w:r>
        <w:rPr>
          <w:rFonts w:hint="eastAsia" w:cs="等线"/>
          <w:bCs/>
          <w:sz w:val="18"/>
          <w:szCs w:val="21"/>
          <w:lang w:bidi="ar"/>
        </w:rPr>
        <w:t>续表</w:t>
      </w:r>
      <w:r>
        <w:rPr>
          <w:rFonts w:hint="eastAsia" w:eastAsia="黑体" w:cs="黑体"/>
          <w:b/>
          <w:sz w:val="18"/>
          <w:szCs w:val="18"/>
        </w:rPr>
        <w:t>C</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高山榕 Ficus altissma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垂叶榕 Ficus benjamina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榕树 Ficusmicrocarpa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金叶榕 Ficusmicrocarpa f</w:t>
            </w:r>
            <w:bookmarkStart w:id="368" w:name="OLE_LINK99"/>
            <w:r>
              <w:rPr>
                <w:sz w:val="15"/>
                <w:szCs w:val="21"/>
                <w:lang w:bidi="ar"/>
              </w:rPr>
              <w:t>·</w:t>
            </w:r>
            <w:bookmarkEnd w:id="368"/>
            <w:r>
              <w:rPr>
                <w:rFonts w:hint="eastAsia" w:cs="等线"/>
                <w:sz w:val="15"/>
                <w:szCs w:val="21"/>
                <w:lang w:bidi="ar"/>
              </w:rPr>
              <w:t>cv</w:t>
            </w:r>
            <w:r>
              <w:rPr>
                <w:sz w:val="15"/>
                <w:szCs w:val="21"/>
                <w:lang w:bidi="ar"/>
              </w:rPr>
              <w:t>·</w:t>
            </w:r>
            <w:r>
              <w:rPr>
                <w:rFonts w:hint="eastAsia" w:cs="等线"/>
                <w:sz w:val="15"/>
                <w:szCs w:val="21"/>
                <w:lang w:bidi="ar"/>
              </w:rPr>
              <w:t>Golden Leaves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大叶榕 Ficus virens var</w:t>
            </w:r>
            <w:r>
              <w:rPr>
                <w:sz w:val="15"/>
                <w:szCs w:val="21"/>
                <w:lang w:bidi="ar"/>
              </w:rPr>
              <w:t>·</w:t>
            </w:r>
            <w:r>
              <w:rPr>
                <w:rFonts w:hint="eastAsia"/>
                <w:sz w:val="15"/>
                <w:szCs w:val="21"/>
                <w:lang w:bidi="ar"/>
              </w:rPr>
              <w:t xml:space="preserve"> </w:t>
            </w:r>
            <w:r>
              <w:rPr>
                <w:rFonts w:hint="eastAsia" w:cs="等线"/>
                <w:sz w:val="15"/>
                <w:szCs w:val="21"/>
                <w:lang w:bidi="ar"/>
              </w:rPr>
              <w:t>sublanceolata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扶桑 Hibiscus rosa-sinensis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蜘蛛兰 Hymenocallis littoralis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龙船花 Ixora 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非洲桃花心木 Khaya senegalensis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大花紫薇 Lagerstrocmia speciosa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马缨丹 Lantana camara cv</w:t>
            </w:r>
            <w:r>
              <w:rPr>
                <w:sz w:val="15"/>
                <w:szCs w:val="21"/>
                <w:lang w:bidi="ar"/>
              </w:rPr>
              <w:t>·</w:t>
            </w:r>
            <w:r>
              <w:rPr>
                <w:rFonts w:hint="eastAsia" w:cs="等线"/>
                <w:sz w:val="15"/>
                <w:szCs w:val="21"/>
                <w:lang w:bidi="ar"/>
              </w:rPr>
              <w:t xml:space="preserve"> Flava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荔枝 Litchi 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 xml:space="preserve"> 豺皮樟 Litsea rotundifolia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蒲葵 Livistona chinensis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梅叶冬青 Ilex asprella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芒果 Mangifera indica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白兰 Michelia alba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夹竹桃 Neroum oleander</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海枣 Phoenix dactylifere</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九节 Psychotria rubra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大王椰 Ravenea rivularis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桃金娘 RhodOmyrtus tomentosa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山乌桕 Sapium discolor</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鸭脚木 Schefflera octophylla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木荷 Schima superba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0.857</w:t>
            </w:r>
          </w:p>
        </w:tc>
      </w:tr>
    </w:tbl>
    <w:p>
      <w:pPr>
        <w:spacing w:line="240" w:lineRule="auto"/>
        <w:jc w:val="center"/>
        <w:rPr>
          <w:rFonts w:cs="等线"/>
          <w:bCs/>
          <w:sz w:val="18"/>
          <w:szCs w:val="21"/>
          <w:lang w:bidi="ar"/>
        </w:rPr>
      </w:pPr>
    </w:p>
    <w:p>
      <w:pPr>
        <w:spacing w:line="240" w:lineRule="auto"/>
        <w:jc w:val="center"/>
      </w:pPr>
      <w:r>
        <w:rPr>
          <w:rFonts w:hint="eastAsia" w:cs="等线"/>
          <w:bCs/>
          <w:sz w:val="18"/>
          <w:szCs w:val="21"/>
          <w:lang w:bidi="ar"/>
        </w:rPr>
        <w:t>续表</w:t>
      </w:r>
      <w:r>
        <w:rPr>
          <w:rFonts w:hint="eastAsia" w:eastAsia="黑体" w:cs="黑体"/>
          <w:b/>
          <w:sz w:val="18"/>
          <w:szCs w:val="18"/>
        </w:rPr>
        <w:t>C</w:t>
      </w:r>
      <w:r>
        <w:rPr>
          <w:rFonts w:hint="eastAsia" w:ascii="宋体" w:hAnsi="宋体"/>
          <w:b/>
          <w:bCs/>
          <w:szCs w:val="21"/>
        </w:rPr>
        <w:t>.</w:t>
      </w:r>
      <w:r>
        <w:rPr>
          <w:rFonts w:hint="eastAsia" w:eastAsia="黑体" w:cs="黑体"/>
          <w:b/>
          <w:sz w:val="18"/>
          <w:szCs w:val="18"/>
        </w:rPr>
        <w:t>0</w:t>
      </w:r>
      <w:r>
        <w:rPr>
          <w:rFonts w:hint="eastAsia" w:ascii="宋体" w:hAnsi="宋体"/>
          <w:b/>
          <w:bCs/>
          <w:szCs w:val="21"/>
        </w:rPr>
        <w:t>.</w:t>
      </w:r>
      <w:r>
        <w:rPr>
          <w:rFonts w:hint="eastAsia" w:eastAsia="黑体" w:cs="黑体"/>
          <w:b/>
          <w:sz w:val="18"/>
          <w:szCs w:val="18"/>
        </w:rPr>
        <w:t>2</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6324"/>
        <w:gridCol w:w="2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bCs/>
                <w:sz w:val="15"/>
                <w:szCs w:val="21"/>
                <w:lang w:bidi="ar"/>
              </w:rPr>
              <w:t>植物种名</w:t>
            </w:r>
          </w:p>
        </w:tc>
        <w:tc>
          <w:tcPr>
            <w:tcW w:w="1598" w:type="pct"/>
            <w:noWrap/>
            <w:vAlign w:val="center"/>
          </w:tcPr>
          <w:p>
            <w:pPr>
              <w:spacing w:line="240" w:lineRule="auto"/>
              <w:jc w:val="center"/>
              <w:textAlignment w:val="bottom"/>
              <w:rPr>
                <w:rFonts w:cs="等线"/>
                <w:bCs/>
                <w:sz w:val="15"/>
                <w:szCs w:val="21"/>
                <w:lang w:bidi="ar"/>
              </w:rPr>
            </w:pPr>
            <w:r>
              <w:rPr>
                <w:rFonts w:hint="eastAsia" w:cs="等线"/>
                <w:bCs/>
                <w:sz w:val="15"/>
                <w:szCs w:val="21"/>
                <w:lang w:bidi="ar"/>
              </w:rPr>
              <w:t>单位面积年吸收CO</w:t>
            </w:r>
            <w:r>
              <w:rPr>
                <w:rFonts w:hint="eastAsia" w:cs="等线"/>
                <w:bCs/>
                <w:sz w:val="15"/>
                <w:szCs w:val="21"/>
                <w:vertAlign w:val="subscript"/>
                <w:lang w:bidi="ar"/>
              </w:rPr>
              <w:t>2</w:t>
            </w:r>
            <w:r>
              <w:rPr>
                <w:rFonts w:hint="eastAsia" w:cs="等线"/>
                <w:bCs/>
                <w:sz w:val="15"/>
                <w:szCs w:val="21"/>
                <w:lang w:bidi="ar"/>
              </w:rPr>
              <w:t>量</w:t>
            </w:r>
          </w:p>
          <w:p>
            <w:pPr>
              <w:spacing w:line="240" w:lineRule="auto"/>
              <w:jc w:val="center"/>
              <w:textAlignment w:val="bottom"/>
              <w:rPr>
                <w:rFonts w:cs="等线"/>
                <w:sz w:val="15"/>
                <w:szCs w:val="21"/>
                <w:lang w:bidi="ar"/>
              </w:rPr>
            </w:pPr>
            <w:r>
              <w:rPr>
                <w:rFonts w:hint="eastAsia" w:cs="等线"/>
                <w:bCs/>
                <w:sz w:val="15"/>
                <w:szCs w:val="21"/>
                <w:lang w:bidi="ar"/>
              </w:rPr>
              <w:t>(kgCO</w:t>
            </w:r>
            <w:r>
              <w:rPr>
                <w:rFonts w:hint="eastAsia" w:cs="等线"/>
                <w:bCs/>
                <w:sz w:val="15"/>
                <w:szCs w:val="21"/>
                <w:vertAlign w:val="subscript"/>
                <w:lang w:bidi="ar"/>
              </w:rPr>
              <w:t>2e</w:t>
            </w:r>
            <w:r>
              <w:rPr>
                <w:rFonts w:hint="eastAsia" w:cs="等线"/>
                <w:bCs/>
                <w:sz w:val="15"/>
                <w:szCs w:val="21"/>
                <w:lang w:bidi="ar"/>
              </w:rPr>
              <w:t>/m</w:t>
            </w:r>
            <w:r>
              <w:rPr>
                <w:rFonts w:hint="eastAsia" w:cs="等线"/>
                <w:bCs/>
                <w:sz w:val="15"/>
                <w:szCs w:val="21"/>
                <w:vertAlign w:val="superscript"/>
                <w:lang w:bidi="ar"/>
              </w:rPr>
              <w:t>2</w:t>
            </w:r>
            <w:r>
              <w:rPr>
                <w:rFonts w:hint="eastAsia" w:cs="等线"/>
                <w:bCs/>
                <w:sz w:val="15"/>
                <w:szCs w:val="21"/>
                <w:lang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金山葵 Syagrus romanzoffiana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0.699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白蝴蝶 Syngonium podophyllum cv Albovirens</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0.343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海南蒲桃 Syzygium cumini</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1.070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蟛蜞菊 Wedelia trilobata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0.486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rPr>
            </w:pPr>
            <w:r>
              <w:rPr>
                <w:rFonts w:hint="eastAsia" w:cs="等线"/>
                <w:sz w:val="15"/>
                <w:szCs w:val="21"/>
                <w:lang w:bidi="ar"/>
              </w:rPr>
              <w:t>台湾草 Zoysia tenuifolia</w:t>
            </w:r>
          </w:p>
        </w:tc>
        <w:tc>
          <w:tcPr>
            <w:tcW w:w="1598" w:type="pct"/>
            <w:noWrap/>
            <w:vAlign w:val="center"/>
          </w:tcPr>
          <w:p>
            <w:pPr>
              <w:spacing w:line="240" w:lineRule="auto"/>
              <w:jc w:val="center"/>
              <w:textAlignment w:val="bottom"/>
              <w:rPr>
                <w:rFonts w:cs="等线"/>
                <w:sz w:val="15"/>
                <w:szCs w:val="21"/>
              </w:rPr>
            </w:pPr>
            <w:r>
              <w:rPr>
                <w:rFonts w:hint="eastAsia" w:cs="等线"/>
                <w:sz w:val="15"/>
                <w:szCs w:val="21"/>
                <w:lang w:bidi="ar"/>
              </w:rPr>
              <w:t>2.221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农田</w:t>
            </w:r>
          </w:p>
        </w:tc>
        <w:tc>
          <w:tcPr>
            <w:tcW w:w="1598"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2.439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402"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其它</w:t>
            </w:r>
          </w:p>
        </w:tc>
        <w:tc>
          <w:tcPr>
            <w:tcW w:w="1598" w:type="pct"/>
            <w:noWrap/>
            <w:vAlign w:val="center"/>
          </w:tcPr>
          <w:p>
            <w:pPr>
              <w:spacing w:line="240" w:lineRule="auto"/>
              <w:jc w:val="center"/>
              <w:textAlignment w:val="bottom"/>
              <w:rPr>
                <w:rFonts w:cs="等线"/>
                <w:sz w:val="15"/>
                <w:szCs w:val="21"/>
                <w:lang w:bidi="ar"/>
              </w:rPr>
            </w:pPr>
            <w:r>
              <w:rPr>
                <w:rFonts w:hint="eastAsia" w:cs="等线"/>
                <w:sz w:val="15"/>
                <w:szCs w:val="21"/>
                <w:lang w:bidi="ar"/>
              </w:rPr>
              <w:t>0.811</w:t>
            </w:r>
          </w:p>
        </w:tc>
      </w:tr>
    </w:tbl>
    <w:p>
      <w:pPr>
        <w:spacing w:line="240" w:lineRule="auto"/>
        <w:jc w:val="left"/>
        <w:textAlignment w:val="center"/>
        <w:rPr>
          <w:rFonts w:cs="等线 Light"/>
          <w:sz w:val="15"/>
          <w:szCs w:val="21"/>
        </w:rPr>
      </w:pPr>
      <w:r>
        <w:rPr>
          <w:rFonts w:hint="eastAsia" w:cs="等线 Light"/>
          <w:sz w:val="15"/>
          <w:szCs w:val="21"/>
        </w:rPr>
        <w:t>注：本表格来源于文献：吴捷, 李楠, 陈智等. 深圳特区城市植被的固碳释氧效应[J]. 中山大学学报（自然科学院版）, 2010, 49(4):86-92。</w:t>
      </w:r>
    </w:p>
    <w:p/>
    <w:p/>
    <w:p>
      <w:pPr>
        <w:spacing w:line="240" w:lineRule="auto"/>
        <w:rPr>
          <w:sz w:val="15"/>
        </w:rPr>
      </w:pPr>
    </w:p>
    <w:p>
      <w:pPr>
        <w:widowControl/>
        <w:spacing w:line="240" w:lineRule="auto"/>
        <w:jc w:val="left"/>
        <w:rPr>
          <w:sz w:val="15"/>
        </w:rPr>
      </w:pPr>
      <w:r>
        <w:rPr>
          <w:sz w:val="15"/>
        </w:rPr>
        <w:br w:type="page"/>
      </w:r>
    </w:p>
    <w:p>
      <w:pPr>
        <w:spacing w:line="240" w:lineRule="auto"/>
        <w:rPr>
          <w:vanish/>
          <w:sz w:val="15"/>
        </w:rPr>
      </w:pPr>
    </w:p>
    <w:p>
      <w:pPr>
        <w:keepNext/>
        <w:keepLines/>
        <w:spacing w:before="360" w:after="360" w:line="240" w:lineRule="auto"/>
        <w:jc w:val="center"/>
        <w:outlineLvl w:val="0"/>
        <w:rPr>
          <w:rStyle w:val="19"/>
          <w:rFonts w:ascii="宋体" w:hAnsi="宋体" w:eastAsia="宋体"/>
          <w:b w:val="0"/>
          <w:bCs w:val="0"/>
          <w:sz w:val="28"/>
          <w:szCs w:val="28"/>
        </w:rPr>
      </w:pPr>
      <w:bookmarkStart w:id="369" w:name="_Toc24663"/>
      <w:bookmarkStart w:id="370" w:name="_Toc93999737"/>
      <w:bookmarkStart w:id="371" w:name="_Toc160031005"/>
      <w:bookmarkStart w:id="372" w:name="_Toc160032830"/>
      <w:bookmarkStart w:id="373" w:name="_Toc93998976"/>
      <w:bookmarkStart w:id="374" w:name="_Toc160030743"/>
      <w:bookmarkStart w:id="375" w:name="_Toc161134687"/>
      <w:bookmarkStart w:id="376" w:name="_Toc82523981"/>
      <w:bookmarkStart w:id="377" w:name="_Toc19755"/>
      <w:r>
        <w:rPr>
          <w:rStyle w:val="19"/>
          <w:rFonts w:hint="eastAsia" w:ascii="宋体" w:hAnsi="宋体" w:eastAsia="宋体"/>
          <w:b w:val="0"/>
          <w:bCs w:val="0"/>
          <w:sz w:val="28"/>
          <w:szCs w:val="28"/>
        </w:rPr>
        <w:t>本标准用词说明</w:t>
      </w:r>
      <w:bookmarkEnd w:id="369"/>
      <w:bookmarkEnd w:id="370"/>
      <w:bookmarkEnd w:id="371"/>
      <w:bookmarkEnd w:id="372"/>
      <w:bookmarkEnd w:id="373"/>
      <w:bookmarkEnd w:id="374"/>
      <w:bookmarkEnd w:id="375"/>
      <w:bookmarkEnd w:id="376"/>
      <w:bookmarkEnd w:id="377"/>
    </w:p>
    <w:p>
      <w:pPr>
        <w:spacing w:line="240" w:lineRule="auto"/>
        <w:ind w:firstLine="421" w:firstLineChars="200"/>
        <w:rPr>
          <w:bCs/>
          <w:szCs w:val="21"/>
        </w:rPr>
      </w:pPr>
      <w:r>
        <w:rPr>
          <w:rFonts w:hint="eastAsia"/>
          <w:b/>
          <w:szCs w:val="21"/>
        </w:rPr>
        <w:t>1</w:t>
      </w:r>
      <w:r>
        <w:rPr>
          <w:rFonts w:hint="eastAsia"/>
          <w:bCs/>
          <w:szCs w:val="21"/>
        </w:rPr>
        <w:t xml:space="preserve"> </w:t>
      </w:r>
      <w:r>
        <w:rPr>
          <w:bCs/>
          <w:szCs w:val="21"/>
        </w:rPr>
        <w:t xml:space="preserve"> </w:t>
      </w:r>
      <w:r>
        <w:rPr>
          <w:rFonts w:hint="eastAsia"/>
          <w:bCs/>
          <w:szCs w:val="21"/>
        </w:rPr>
        <w:t>为了便于在执行本标准条文时区别对待，对要求严格程度不同的用词说明如下：</w:t>
      </w:r>
    </w:p>
    <w:p>
      <w:pPr>
        <w:spacing w:line="240" w:lineRule="auto"/>
        <w:ind w:firstLine="632" w:firstLineChars="300"/>
        <w:rPr>
          <w:rFonts w:cs="宋体"/>
          <w:bCs/>
          <w:szCs w:val="21"/>
        </w:rPr>
      </w:pPr>
      <w:r>
        <w:rPr>
          <w:rFonts w:hint="eastAsia" w:cs="宋体"/>
          <w:b/>
          <w:szCs w:val="21"/>
        </w:rPr>
        <w:t>1</w:t>
      </w:r>
      <w:r>
        <w:rPr>
          <w:rFonts w:hint="eastAsia" w:cs="宋体"/>
          <w:bCs/>
          <w:szCs w:val="21"/>
        </w:rPr>
        <w:t>）表示很严格，非这样做不可的用词：</w:t>
      </w:r>
    </w:p>
    <w:p>
      <w:pPr>
        <w:spacing w:line="240" w:lineRule="auto"/>
        <w:ind w:firstLine="945" w:firstLineChars="450"/>
        <w:rPr>
          <w:rFonts w:cs="宋体"/>
          <w:bCs/>
          <w:szCs w:val="21"/>
        </w:rPr>
      </w:pPr>
      <w:r>
        <w:rPr>
          <w:rFonts w:hint="eastAsia" w:cs="宋体"/>
          <w:bCs/>
          <w:szCs w:val="21"/>
        </w:rPr>
        <w:t>正面词采用“必须”，反面词采用“严禁”；</w:t>
      </w:r>
    </w:p>
    <w:p>
      <w:pPr>
        <w:spacing w:line="240" w:lineRule="auto"/>
        <w:ind w:firstLine="632" w:firstLineChars="300"/>
        <w:rPr>
          <w:rFonts w:cs="宋体"/>
          <w:bCs/>
          <w:szCs w:val="21"/>
        </w:rPr>
      </w:pPr>
      <w:r>
        <w:rPr>
          <w:rFonts w:hint="eastAsia" w:cs="宋体"/>
          <w:b/>
          <w:szCs w:val="21"/>
        </w:rPr>
        <w:t>2</w:t>
      </w:r>
      <w:r>
        <w:rPr>
          <w:rFonts w:hint="eastAsia" w:cs="宋体"/>
          <w:bCs/>
          <w:szCs w:val="21"/>
        </w:rPr>
        <w:t>）表示严格，在正常情况下均应这样做的用词：</w:t>
      </w:r>
    </w:p>
    <w:p>
      <w:pPr>
        <w:spacing w:line="240" w:lineRule="auto"/>
        <w:ind w:firstLine="945" w:firstLineChars="450"/>
        <w:rPr>
          <w:rFonts w:cs="宋体"/>
          <w:bCs/>
          <w:szCs w:val="21"/>
        </w:rPr>
      </w:pPr>
      <w:r>
        <w:rPr>
          <w:rFonts w:hint="eastAsia" w:cs="宋体"/>
          <w:bCs/>
          <w:szCs w:val="21"/>
        </w:rPr>
        <w:t>正面词采用“应”，反面词采用“不应”或“不得”；</w:t>
      </w:r>
    </w:p>
    <w:p>
      <w:pPr>
        <w:spacing w:line="240" w:lineRule="auto"/>
        <w:ind w:firstLine="632" w:firstLineChars="300"/>
        <w:rPr>
          <w:rFonts w:cs="宋体"/>
          <w:bCs/>
          <w:szCs w:val="21"/>
        </w:rPr>
      </w:pPr>
      <w:r>
        <w:rPr>
          <w:rFonts w:hint="eastAsia" w:cs="宋体"/>
          <w:b/>
          <w:szCs w:val="21"/>
        </w:rPr>
        <w:t>3</w:t>
      </w:r>
      <w:r>
        <w:rPr>
          <w:rFonts w:hint="eastAsia" w:cs="宋体"/>
          <w:bCs/>
          <w:szCs w:val="21"/>
        </w:rPr>
        <w:t>）表示允许稍有选择，在条件许可时首先应这样做的用词：</w:t>
      </w:r>
    </w:p>
    <w:p>
      <w:pPr>
        <w:spacing w:line="240" w:lineRule="auto"/>
        <w:ind w:firstLine="945" w:firstLineChars="450"/>
        <w:rPr>
          <w:rFonts w:cs="宋体"/>
          <w:bCs/>
          <w:szCs w:val="21"/>
        </w:rPr>
      </w:pPr>
      <w:r>
        <w:rPr>
          <w:rFonts w:hint="eastAsia" w:cs="宋体"/>
          <w:bCs/>
          <w:szCs w:val="21"/>
        </w:rPr>
        <w:t>正面词采用“宜”，反面词采用“不宜”；</w:t>
      </w:r>
    </w:p>
    <w:p>
      <w:pPr>
        <w:spacing w:line="240" w:lineRule="auto"/>
        <w:ind w:firstLine="632" w:firstLineChars="300"/>
        <w:rPr>
          <w:rFonts w:cs="宋体"/>
          <w:bCs/>
          <w:szCs w:val="21"/>
        </w:rPr>
      </w:pPr>
      <w:r>
        <w:rPr>
          <w:rFonts w:hint="eastAsia" w:cs="宋体"/>
          <w:b/>
          <w:szCs w:val="21"/>
        </w:rPr>
        <w:t>4</w:t>
      </w:r>
      <w:r>
        <w:rPr>
          <w:rFonts w:hint="eastAsia" w:cs="宋体"/>
          <w:bCs/>
          <w:szCs w:val="21"/>
        </w:rPr>
        <w:t>）表示有选择，在一定条件下可以这样做的用词，采用“可”。</w:t>
      </w:r>
    </w:p>
    <w:p>
      <w:pPr>
        <w:spacing w:line="240" w:lineRule="auto"/>
        <w:ind w:firstLine="421" w:firstLineChars="200"/>
        <w:rPr>
          <w:rFonts w:cs="宋体"/>
          <w:szCs w:val="21"/>
        </w:rPr>
      </w:pPr>
      <w:r>
        <w:rPr>
          <w:rFonts w:hint="eastAsia" w:eastAsia="黑体"/>
          <w:b/>
          <w:bCs/>
          <w:szCs w:val="21"/>
        </w:rPr>
        <w:t>2</w:t>
      </w:r>
      <w:r>
        <w:rPr>
          <w:rFonts w:hint="eastAsia" w:cs="宋体"/>
          <w:szCs w:val="21"/>
        </w:rPr>
        <w:t xml:space="preserve"> </w:t>
      </w:r>
      <w:r>
        <w:rPr>
          <w:rFonts w:cs="宋体"/>
          <w:szCs w:val="21"/>
        </w:rPr>
        <w:t xml:space="preserve"> </w:t>
      </w:r>
      <w:r>
        <w:rPr>
          <w:rFonts w:hint="eastAsia" w:cs="宋体"/>
          <w:szCs w:val="21"/>
        </w:rPr>
        <w:t>条文中指明应按其他有关的标准执行的写法为“应符合……的规定”或“应按……执行”。</w:t>
      </w:r>
    </w:p>
    <w:p>
      <w:pPr>
        <w:keepNext/>
        <w:keepLines/>
        <w:spacing w:before="360" w:after="360" w:line="240" w:lineRule="auto"/>
        <w:jc w:val="center"/>
        <w:outlineLvl w:val="0"/>
        <w:rPr>
          <w:rFonts w:cs="宋体"/>
          <w:szCs w:val="21"/>
        </w:rPr>
      </w:pPr>
      <w:r>
        <w:rPr>
          <w:szCs w:val="21"/>
        </w:rPr>
        <w:br w:type="page"/>
      </w:r>
    </w:p>
    <w:p>
      <w:pPr>
        <w:keepNext/>
        <w:keepLines/>
        <w:spacing w:before="360" w:after="360" w:line="240" w:lineRule="auto"/>
        <w:jc w:val="center"/>
        <w:outlineLvl w:val="0"/>
        <w:rPr>
          <w:rFonts w:cs="宋体"/>
          <w:bCs/>
          <w:sz w:val="28"/>
          <w:szCs w:val="28"/>
        </w:rPr>
      </w:pPr>
      <w:r>
        <w:rPr>
          <w:rFonts w:hint="eastAsia" w:cs="宋体"/>
          <w:bCs/>
          <w:sz w:val="28"/>
          <w:szCs w:val="28"/>
        </w:rPr>
        <w:t>引用标准名录</w:t>
      </w:r>
    </w:p>
    <w:p>
      <w:pPr>
        <w:spacing w:line="240" w:lineRule="auto"/>
        <w:ind w:firstLine="421" w:firstLineChars="200"/>
        <w:jc w:val="left"/>
        <w:rPr>
          <w:szCs w:val="21"/>
        </w:rPr>
      </w:pPr>
      <w:r>
        <w:rPr>
          <w:b/>
          <w:bCs/>
          <w:szCs w:val="21"/>
        </w:rPr>
        <w:t>1</w:t>
      </w:r>
      <w:r>
        <w:rPr>
          <w:rFonts w:hint="eastAsia"/>
          <w:b/>
          <w:szCs w:val="21"/>
        </w:rPr>
        <w:t xml:space="preserve"> </w:t>
      </w:r>
      <w:r>
        <w:rPr>
          <w:b/>
          <w:szCs w:val="21"/>
        </w:rPr>
        <w:t xml:space="preserve"> </w:t>
      </w:r>
      <w:r>
        <w:rPr>
          <w:rFonts w:hint="eastAsia"/>
          <w:b/>
          <w:szCs w:val="21"/>
        </w:rPr>
        <w:t xml:space="preserve"> </w:t>
      </w:r>
      <w:r>
        <w:rPr>
          <w:rFonts w:hint="eastAsia"/>
          <w:szCs w:val="21"/>
        </w:rPr>
        <w:t>《燃气工程项目规范》GB 55009</w:t>
      </w:r>
    </w:p>
    <w:p>
      <w:pPr>
        <w:spacing w:line="240" w:lineRule="auto"/>
        <w:ind w:firstLine="421" w:firstLineChars="200"/>
        <w:jc w:val="left"/>
        <w:rPr>
          <w:rFonts w:cs="宋体"/>
          <w:szCs w:val="21"/>
        </w:rPr>
      </w:pPr>
      <w:r>
        <w:rPr>
          <w:b/>
          <w:bCs/>
          <w:szCs w:val="21"/>
        </w:rPr>
        <w:t>2</w:t>
      </w:r>
      <w:r>
        <w:rPr>
          <w:rFonts w:hint="eastAsia"/>
          <w:b/>
          <w:szCs w:val="21"/>
        </w:rPr>
        <w:t xml:space="preserve"> </w:t>
      </w:r>
      <w:r>
        <w:rPr>
          <w:b/>
          <w:szCs w:val="21"/>
        </w:rPr>
        <w:t xml:space="preserve"> </w:t>
      </w:r>
      <w:r>
        <w:rPr>
          <w:rFonts w:hint="eastAsia"/>
          <w:b/>
          <w:szCs w:val="21"/>
        </w:rPr>
        <w:t xml:space="preserve"> </w:t>
      </w:r>
      <w:r>
        <w:rPr>
          <w:rFonts w:hint="eastAsia"/>
          <w:szCs w:val="21"/>
        </w:rPr>
        <w:t>《城市道路交通工程项目规范》GB 55011</w:t>
      </w:r>
    </w:p>
    <w:p>
      <w:pPr>
        <w:spacing w:line="240" w:lineRule="auto"/>
        <w:ind w:firstLine="421" w:firstLineChars="200"/>
        <w:jc w:val="left"/>
        <w:rPr>
          <w:rFonts w:cs="宋体"/>
          <w:szCs w:val="21"/>
        </w:rPr>
      </w:pPr>
      <w:r>
        <w:rPr>
          <w:b/>
          <w:bCs/>
          <w:szCs w:val="21"/>
        </w:rPr>
        <w:t>3</w:t>
      </w:r>
      <w:r>
        <w:rPr>
          <w:rFonts w:hint="eastAsia"/>
          <w:b/>
          <w:szCs w:val="21"/>
        </w:rPr>
        <w:t xml:space="preserve"> </w:t>
      </w:r>
      <w:r>
        <w:rPr>
          <w:b/>
          <w:szCs w:val="21"/>
        </w:rPr>
        <w:t xml:space="preserve"> </w:t>
      </w:r>
      <w:r>
        <w:rPr>
          <w:rFonts w:hint="eastAsia"/>
          <w:b/>
          <w:szCs w:val="21"/>
        </w:rPr>
        <w:t xml:space="preserve"> </w:t>
      </w:r>
      <w:r>
        <w:rPr>
          <w:rFonts w:hint="eastAsia"/>
          <w:szCs w:val="21"/>
        </w:rPr>
        <w:t>《建筑节能与可再生能源利用通用规范》GB 55015</w:t>
      </w:r>
    </w:p>
    <w:p>
      <w:pPr>
        <w:spacing w:line="240" w:lineRule="auto"/>
        <w:ind w:firstLine="421" w:firstLineChars="200"/>
        <w:jc w:val="left"/>
        <w:rPr>
          <w:rFonts w:cs="宋体"/>
          <w:szCs w:val="21"/>
        </w:rPr>
      </w:pPr>
      <w:r>
        <w:rPr>
          <w:b/>
          <w:bCs/>
          <w:szCs w:val="21"/>
        </w:rPr>
        <w:t>4</w:t>
      </w:r>
      <w:r>
        <w:rPr>
          <w:rFonts w:hint="eastAsia"/>
          <w:b/>
          <w:szCs w:val="21"/>
        </w:rPr>
        <w:t xml:space="preserve">  </w:t>
      </w:r>
      <w:r>
        <w:rPr>
          <w:b/>
          <w:szCs w:val="21"/>
        </w:rPr>
        <w:t xml:space="preserve"> </w:t>
      </w:r>
      <w:r>
        <w:rPr>
          <w:rFonts w:hint="eastAsia"/>
          <w:szCs w:val="21"/>
        </w:rPr>
        <w:t>《城市给水工程项目规范》GB 55026</w:t>
      </w:r>
    </w:p>
    <w:p>
      <w:pPr>
        <w:spacing w:line="240" w:lineRule="auto"/>
        <w:ind w:firstLine="421" w:firstLineChars="200"/>
        <w:jc w:val="left"/>
        <w:rPr>
          <w:szCs w:val="21"/>
        </w:rPr>
      </w:pPr>
      <w:r>
        <w:rPr>
          <w:b/>
          <w:bCs/>
          <w:szCs w:val="21"/>
        </w:rPr>
        <w:t>5</w:t>
      </w:r>
      <w:r>
        <w:rPr>
          <w:rFonts w:hint="eastAsia"/>
          <w:b/>
          <w:szCs w:val="21"/>
        </w:rPr>
        <w:t xml:space="preserve">  </w:t>
      </w:r>
      <w:r>
        <w:rPr>
          <w:b/>
          <w:szCs w:val="21"/>
        </w:rPr>
        <w:t xml:space="preserve"> </w:t>
      </w:r>
      <w:r>
        <w:rPr>
          <w:rFonts w:hint="eastAsia"/>
          <w:szCs w:val="21"/>
        </w:rPr>
        <w:t>《城乡排水工程项目规范》GB 55027</w:t>
      </w:r>
    </w:p>
    <w:p>
      <w:pPr>
        <w:spacing w:line="240" w:lineRule="auto"/>
        <w:ind w:firstLine="421" w:firstLineChars="200"/>
        <w:jc w:val="left"/>
        <w:rPr>
          <w:szCs w:val="21"/>
        </w:rPr>
      </w:pPr>
      <w:r>
        <w:rPr>
          <w:rFonts w:hint="eastAsia"/>
          <w:b/>
          <w:bCs/>
          <w:szCs w:val="21"/>
        </w:rPr>
        <w:t>6</w:t>
      </w:r>
      <w:r>
        <w:rPr>
          <w:rFonts w:hint="eastAsia"/>
          <w:b/>
          <w:szCs w:val="21"/>
        </w:rPr>
        <w:t xml:space="preserve"> </w:t>
      </w:r>
      <w:r>
        <w:rPr>
          <w:b/>
          <w:szCs w:val="21"/>
        </w:rPr>
        <w:t xml:space="preserve"> </w:t>
      </w:r>
      <w:r>
        <w:rPr>
          <w:rFonts w:hint="eastAsia"/>
          <w:b/>
          <w:szCs w:val="21"/>
        </w:rPr>
        <w:t xml:space="preserve"> </w:t>
      </w:r>
      <w:r>
        <w:rPr>
          <w:rFonts w:hint="eastAsia"/>
          <w:szCs w:val="21"/>
        </w:rPr>
        <w:t>《道路交通标志和标线》GB 5768</w:t>
      </w:r>
    </w:p>
    <w:p>
      <w:pPr>
        <w:spacing w:line="240" w:lineRule="auto"/>
        <w:ind w:firstLine="421" w:firstLineChars="200"/>
        <w:jc w:val="left"/>
        <w:rPr>
          <w:rFonts w:cs="宋体"/>
          <w:szCs w:val="21"/>
        </w:rPr>
      </w:pPr>
      <w:r>
        <w:rPr>
          <w:rFonts w:hint="eastAsia"/>
          <w:b/>
          <w:bCs/>
          <w:szCs w:val="21"/>
        </w:rPr>
        <w:t>7</w:t>
      </w:r>
      <w:r>
        <w:rPr>
          <w:rFonts w:hint="eastAsia"/>
          <w:b/>
          <w:szCs w:val="21"/>
        </w:rPr>
        <w:t xml:space="preserve"> </w:t>
      </w:r>
      <w:r>
        <w:rPr>
          <w:b/>
          <w:szCs w:val="21"/>
        </w:rPr>
        <w:t xml:space="preserve"> </w:t>
      </w:r>
      <w:r>
        <w:rPr>
          <w:rFonts w:hint="eastAsia"/>
          <w:b/>
          <w:szCs w:val="21"/>
        </w:rPr>
        <w:t xml:space="preserve"> </w:t>
      </w:r>
      <w:r>
        <w:rPr>
          <w:rFonts w:hint="eastAsia"/>
          <w:szCs w:val="21"/>
        </w:rPr>
        <w:t>《室外给水设计标准》GB 50013</w:t>
      </w:r>
    </w:p>
    <w:p>
      <w:pPr>
        <w:spacing w:line="240" w:lineRule="auto"/>
        <w:ind w:firstLine="421" w:firstLineChars="200"/>
        <w:jc w:val="left"/>
        <w:rPr>
          <w:rFonts w:cs="宋体"/>
          <w:szCs w:val="21"/>
        </w:rPr>
      </w:pPr>
      <w:r>
        <w:rPr>
          <w:rFonts w:hint="eastAsia"/>
          <w:b/>
          <w:bCs/>
          <w:szCs w:val="21"/>
        </w:rPr>
        <w:t>8</w:t>
      </w:r>
      <w:r>
        <w:rPr>
          <w:rFonts w:hint="eastAsia"/>
          <w:b/>
          <w:szCs w:val="21"/>
        </w:rPr>
        <w:t xml:space="preserve">  </w:t>
      </w:r>
      <w:r>
        <w:rPr>
          <w:b/>
          <w:szCs w:val="21"/>
        </w:rPr>
        <w:t xml:space="preserve"> </w:t>
      </w:r>
      <w:r>
        <w:rPr>
          <w:rFonts w:hint="eastAsia"/>
          <w:szCs w:val="21"/>
        </w:rPr>
        <w:t>《建筑照明设计标准》GB 50034</w:t>
      </w:r>
    </w:p>
    <w:p>
      <w:pPr>
        <w:spacing w:line="240" w:lineRule="auto"/>
        <w:ind w:firstLine="421" w:firstLineChars="200"/>
        <w:jc w:val="left"/>
        <w:rPr>
          <w:rFonts w:cs="宋体"/>
          <w:szCs w:val="21"/>
        </w:rPr>
      </w:pPr>
      <w:r>
        <w:rPr>
          <w:rFonts w:hint="eastAsia"/>
          <w:b/>
          <w:bCs/>
          <w:szCs w:val="21"/>
        </w:rPr>
        <w:t xml:space="preserve">9 </w:t>
      </w:r>
      <w:r>
        <w:rPr>
          <w:rFonts w:hint="eastAsia"/>
          <w:b/>
          <w:szCs w:val="21"/>
        </w:rPr>
        <w:t xml:space="preserve"> </w:t>
      </w:r>
      <w:r>
        <w:rPr>
          <w:b/>
          <w:szCs w:val="21"/>
        </w:rPr>
        <w:t xml:space="preserve"> </w:t>
      </w:r>
      <w:r>
        <w:rPr>
          <w:rFonts w:hint="eastAsia"/>
          <w:szCs w:val="21"/>
        </w:rPr>
        <w:t>《供配电系统设计规范》GB 50052</w:t>
      </w:r>
    </w:p>
    <w:p>
      <w:pPr>
        <w:spacing w:line="240" w:lineRule="auto"/>
        <w:ind w:firstLine="421" w:firstLineChars="200"/>
        <w:jc w:val="left"/>
        <w:rPr>
          <w:szCs w:val="21"/>
        </w:rPr>
      </w:pPr>
      <w:r>
        <w:rPr>
          <w:rFonts w:hint="eastAsia"/>
          <w:b/>
          <w:bCs/>
          <w:szCs w:val="21"/>
        </w:rPr>
        <w:t>10</w:t>
      </w:r>
      <w:r>
        <w:rPr>
          <w:rFonts w:hint="eastAsia"/>
          <w:b/>
          <w:szCs w:val="21"/>
        </w:rPr>
        <w:t xml:space="preserve"> </w:t>
      </w:r>
      <w:r>
        <w:rPr>
          <w:b/>
          <w:szCs w:val="21"/>
        </w:rPr>
        <w:t xml:space="preserve"> </w:t>
      </w:r>
      <w:r>
        <w:rPr>
          <w:rFonts w:hint="eastAsia"/>
          <w:szCs w:val="21"/>
        </w:rPr>
        <w:t>《通用用电设备配电设计规范》GB 50055</w:t>
      </w:r>
    </w:p>
    <w:p>
      <w:pPr>
        <w:spacing w:line="240" w:lineRule="auto"/>
        <w:ind w:firstLine="421" w:firstLineChars="200"/>
        <w:jc w:val="left"/>
        <w:rPr>
          <w:rFonts w:cs="宋体"/>
          <w:szCs w:val="21"/>
        </w:rPr>
      </w:pPr>
      <w:r>
        <w:rPr>
          <w:rFonts w:hint="eastAsia"/>
          <w:b/>
          <w:bCs/>
          <w:szCs w:val="21"/>
        </w:rPr>
        <w:t>11</w:t>
      </w:r>
      <w:r>
        <w:rPr>
          <w:rFonts w:hint="eastAsia"/>
          <w:b/>
          <w:szCs w:val="21"/>
        </w:rPr>
        <w:t xml:space="preserve">  </w:t>
      </w:r>
      <w:r>
        <w:rPr>
          <w:rFonts w:hint="eastAsia"/>
          <w:szCs w:val="21"/>
        </w:rPr>
        <w:t>《给水排水构筑物工程施工及验收规范》GB 50141</w:t>
      </w:r>
    </w:p>
    <w:p>
      <w:pPr>
        <w:spacing w:line="240" w:lineRule="auto"/>
        <w:ind w:firstLine="421" w:firstLineChars="200"/>
        <w:jc w:val="left"/>
        <w:rPr>
          <w:rFonts w:cs="宋体"/>
          <w:szCs w:val="21"/>
        </w:rPr>
      </w:pPr>
      <w:r>
        <w:rPr>
          <w:rFonts w:hint="eastAsia"/>
          <w:b/>
          <w:bCs/>
          <w:szCs w:val="21"/>
        </w:rPr>
        <w:t>12</w:t>
      </w:r>
      <w:r>
        <w:rPr>
          <w:rFonts w:hint="eastAsia"/>
          <w:b/>
          <w:szCs w:val="21"/>
        </w:rPr>
        <w:t xml:space="preserve"> </w:t>
      </w:r>
      <w:r>
        <w:rPr>
          <w:b/>
          <w:szCs w:val="21"/>
        </w:rPr>
        <w:t xml:space="preserve"> </w:t>
      </w:r>
      <w:r>
        <w:rPr>
          <w:rFonts w:hint="eastAsia"/>
          <w:szCs w:val="21"/>
        </w:rPr>
        <w:t>《数据中心设计规范》GB 50174</w:t>
      </w:r>
    </w:p>
    <w:p>
      <w:pPr>
        <w:spacing w:line="240" w:lineRule="auto"/>
        <w:ind w:firstLine="421" w:firstLineChars="200"/>
        <w:jc w:val="left"/>
        <w:rPr>
          <w:rFonts w:cs="宋体"/>
          <w:szCs w:val="21"/>
        </w:rPr>
      </w:pPr>
      <w:r>
        <w:rPr>
          <w:rFonts w:hint="eastAsia"/>
          <w:b/>
          <w:bCs/>
          <w:szCs w:val="21"/>
        </w:rPr>
        <w:t>13</w:t>
      </w:r>
      <w:r>
        <w:rPr>
          <w:rFonts w:hint="eastAsia"/>
          <w:b/>
          <w:szCs w:val="21"/>
        </w:rPr>
        <w:t xml:space="preserve"> </w:t>
      </w:r>
      <w:r>
        <w:rPr>
          <w:b/>
          <w:szCs w:val="21"/>
        </w:rPr>
        <w:t xml:space="preserve"> </w:t>
      </w:r>
      <w:r>
        <w:rPr>
          <w:rFonts w:hint="eastAsia"/>
          <w:szCs w:val="21"/>
        </w:rPr>
        <w:t>《公共建筑节能设计标准》GB 50189</w:t>
      </w:r>
    </w:p>
    <w:p>
      <w:pPr>
        <w:spacing w:line="240" w:lineRule="auto"/>
        <w:ind w:firstLine="421" w:firstLineChars="200"/>
        <w:jc w:val="left"/>
        <w:rPr>
          <w:szCs w:val="21"/>
        </w:rPr>
      </w:pPr>
      <w:r>
        <w:rPr>
          <w:rFonts w:hint="eastAsia"/>
          <w:b/>
          <w:bCs/>
          <w:szCs w:val="21"/>
        </w:rPr>
        <w:t>14</w:t>
      </w:r>
      <w:r>
        <w:rPr>
          <w:rFonts w:hint="eastAsia"/>
          <w:b/>
          <w:szCs w:val="21"/>
        </w:rPr>
        <w:t xml:space="preserve"> </w:t>
      </w:r>
      <w:r>
        <w:rPr>
          <w:b/>
          <w:szCs w:val="21"/>
        </w:rPr>
        <w:t xml:space="preserve"> </w:t>
      </w:r>
      <w:r>
        <w:rPr>
          <w:rFonts w:hint="eastAsia"/>
          <w:szCs w:val="21"/>
        </w:rPr>
        <w:t>《输气管道工程设计规范》GB 50251</w:t>
      </w:r>
    </w:p>
    <w:p>
      <w:pPr>
        <w:spacing w:line="240" w:lineRule="auto"/>
        <w:ind w:firstLine="421" w:firstLineChars="200"/>
        <w:jc w:val="left"/>
        <w:rPr>
          <w:szCs w:val="21"/>
        </w:rPr>
      </w:pPr>
      <w:r>
        <w:rPr>
          <w:rFonts w:hint="eastAsia"/>
          <w:b/>
          <w:bCs/>
          <w:szCs w:val="21"/>
        </w:rPr>
        <w:t>15</w:t>
      </w:r>
      <w:r>
        <w:rPr>
          <w:rFonts w:hint="eastAsia"/>
          <w:b/>
          <w:szCs w:val="21"/>
        </w:rPr>
        <w:t xml:space="preserve"> </w:t>
      </w:r>
      <w:r>
        <w:rPr>
          <w:rFonts w:hint="eastAsia"/>
          <w:szCs w:val="21"/>
        </w:rPr>
        <w:t xml:space="preserve"> 《城市工程管线综合规划规范》GB 50289</w:t>
      </w:r>
    </w:p>
    <w:p>
      <w:pPr>
        <w:spacing w:line="240" w:lineRule="auto"/>
        <w:ind w:firstLine="421" w:firstLineChars="200"/>
        <w:jc w:val="left"/>
        <w:rPr>
          <w:rFonts w:cs="宋体"/>
          <w:szCs w:val="21"/>
        </w:rPr>
      </w:pPr>
      <w:r>
        <w:rPr>
          <w:rFonts w:hint="eastAsia"/>
          <w:b/>
          <w:bCs/>
          <w:szCs w:val="21"/>
        </w:rPr>
        <w:t>16</w:t>
      </w:r>
      <w:r>
        <w:rPr>
          <w:rFonts w:hint="eastAsia"/>
          <w:b/>
          <w:szCs w:val="21"/>
        </w:rPr>
        <w:t xml:space="preserve"> </w:t>
      </w:r>
      <w:r>
        <w:rPr>
          <w:b/>
          <w:szCs w:val="21"/>
        </w:rPr>
        <w:t xml:space="preserve"> </w:t>
      </w:r>
      <w:r>
        <w:rPr>
          <w:rFonts w:hint="eastAsia"/>
          <w:szCs w:val="21"/>
        </w:rPr>
        <w:t>《城市排水工程规划规范》GB 50318</w:t>
      </w:r>
    </w:p>
    <w:p>
      <w:pPr>
        <w:spacing w:line="240" w:lineRule="auto"/>
        <w:ind w:firstLine="421" w:firstLineChars="200"/>
        <w:jc w:val="left"/>
        <w:rPr>
          <w:szCs w:val="21"/>
        </w:rPr>
      </w:pPr>
      <w:r>
        <w:rPr>
          <w:rFonts w:hint="eastAsia"/>
          <w:b/>
          <w:bCs/>
          <w:szCs w:val="21"/>
        </w:rPr>
        <w:t>17</w:t>
      </w:r>
      <w:r>
        <w:rPr>
          <w:rFonts w:hint="eastAsia"/>
          <w:b/>
          <w:szCs w:val="21"/>
        </w:rPr>
        <w:t xml:space="preserve"> </w:t>
      </w:r>
      <w:r>
        <w:rPr>
          <w:b/>
          <w:szCs w:val="21"/>
        </w:rPr>
        <w:t xml:space="preserve"> </w:t>
      </w:r>
      <w:r>
        <w:rPr>
          <w:rFonts w:hint="eastAsia"/>
          <w:szCs w:val="21"/>
        </w:rPr>
        <w:t>《城镇污水再生利用工程设计规范》GB 50335</w:t>
      </w:r>
    </w:p>
    <w:p>
      <w:pPr>
        <w:spacing w:line="240" w:lineRule="auto"/>
        <w:ind w:firstLine="421" w:firstLineChars="200"/>
        <w:jc w:val="left"/>
        <w:rPr>
          <w:rFonts w:cs="宋体"/>
          <w:szCs w:val="21"/>
        </w:rPr>
      </w:pPr>
      <w:r>
        <w:rPr>
          <w:rFonts w:hint="eastAsia"/>
          <w:b/>
          <w:bCs/>
          <w:szCs w:val="21"/>
        </w:rPr>
        <w:t>18</w:t>
      </w:r>
      <w:r>
        <w:rPr>
          <w:rFonts w:hint="eastAsia"/>
          <w:b/>
          <w:szCs w:val="21"/>
        </w:rPr>
        <w:t xml:space="preserve"> </w:t>
      </w:r>
      <w:r>
        <w:rPr>
          <w:b/>
          <w:szCs w:val="21"/>
        </w:rPr>
        <w:t xml:space="preserve"> </w:t>
      </w:r>
      <w:r>
        <w:rPr>
          <w:rFonts w:hint="eastAsia"/>
          <w:szCs w:val="21"/>
        </w:rPr>
        <w:t>《通信管道与通道工程设计标准》GB 50373</w:t>
      </w:r>
    </w:p>
    <w:p>
      <w:pPr>
        <w:spacing w:line="240" w:lineRule="auto"/>
        <w:ind w:firstLine="421" w:firstLineChars="200"/>
        <w:jc w:val="left"/>
        <w:rPr>
          <w:rFonts w:cs="宋体"/>
          <w:szCs w:val="21"/>
        </w:rPr>
      </w:pPr>
      <w:r>
        <w:rPr>
          <w:rFonts w:hint="eastAsia"/>
          <w:b/>
          <w:bCs/>
          <w:szCs w:val="21"/>
        </w:rPr>
        <w:t>19</w:t>
      </w:r>
      <w:r>
        <w:rPr>
          <w:rFonts w:hint="eastAsia"/>
          <w:b/>
          <w:szCs w:val="21"/>
        </w:rPr>
        <w:t xml:space="preserve"> </w:t>
      </w:r>
      <w:r>
        <w:rPr>
          <w:b/>
          <w:szCs w:val="21"/>
        </w:rPr>
        <w:t xml:space="preserve"> </w:t>
      </w:r>
      <w:r>
        <w:rPr>
          <w:rFonts w:hint="eastAsia"/>
          <w:szCs w:val="21"/>
        </w:rPr>
        <w:t>《城市绿地设计规范》GB 50420</w:t>
      </w:r>
    </w:p>
    <w:p>
      <w:pPr>
        <w:spacing w:line="240" w:lineRule="auto"/>
        <w:ind w:firstLine="421" w:firstLineChars="200"/>
        <w:jc w:val="left"/>
        <w:rPr>
          <w:szCs w:val="21"/>
        </w:rPr>
      </w:pPr>
      <w:r>
        <w:rPr>
          <w:rFonts w:hint="eastAsia"/>
          <w:b/>
          <w:bCs/>
          <w:szCs w:val="21"/>
        </w:rPr>
        <w:t>20</w:t>
      </w:r>
      <w:r>
        <w:rPr>
          <w:rFonts w:hint="eastAsia"/>
          <w:b/>
          <w:szCs w:val="21"/>
        </w:rPr>
        <w:t xml:space="preserve"> </w:t>
      </w:r>
      <w:r>
        <w:rPr>
          <w:b/>
          <w:szCs w:val="21"/>
        </w:rPr>
        <w:t xml:space="preserve"> </w:t>
      </w:r>
      <w:r>
        <w:rPr>
          <w:rFonts w:hint="eastAsia"/>
          <w:szCs w:val="21"/>
        </w:rPr>
        <w:t>《建设工程工程量清单计价规范》GB 50500</w:t>
      </w:r>
    </w:p>
    <w:p>
      <w:pPr>
        <w:spacing w:line="240" w:lineRule="auto"/>
        <w:ind w:firstLine="421" w:firstLineChars="200"/>
        <w:jc w:val="left"/>
        <w:rPr>
          <w:rFonts w:cs="宋体"/>
          <w:szCs w:val="21"/>
        </w:rPr>
      </w:pPr>
      <w:r>
        <w:rPr>
          <w:rFonts w:hint="eastAsia"/>
          <w:b/>
          <w:bCs/>
          <w:szCs w:val="21"/>
        </w:rPr>
        <w:t>21</w:t>
      </w:r>
      <w:r>
        <w:rPr>
          <w:rFonts w:hint="eastAsia"/>
          <w:b/>
          <w:szCs w:val="21"/>
        </w:rPr>
        <w:t xml:space="preserve"> </w:t>
      </w:r>
      <w:r>
        <w:rPr>
          <w:rFonts w:hint="eastAsia"/>
          <w:szCs w:val="21"/>
        </w:rPr>
        <w:t xml:space="preserve"> 《城市道路交通设施设计规范》GB 50688</w:t>
      </w:r>
    </w:p>
    <w:p>
      <w:pPr>
        <w:spacing w:line="240" w:lineRule="auto"/>
        <w:ind w:firstLine="421" w:firstLineChars="200"/>
        <w:jc w:val="left"/>
        <w:rPr>
          <w:rFonts w:cs="宋体"/>
          <w:szCs w:val="21"/>
        </w:rPr>
      </w:pPr>
      <w:r>
        <w:rPr>
          <w:rFonts w:hint="eastAsia"/>
          <w:b/>
          <w:bCs/>
          <w:szCs w:val="21"/>
        </w:rPr>
        <w:t>22</w:t>
      </w:r>
      <w:r>
        <w:rPr>
          <w:rFonts w:hint="eastAsia"/>
          <w:b/>
          <w:szCs w:val="21"/>
        </w:rPr>
        <w:t xml:space="preserve"> </w:t>
      </w:r>
      <w:r>
        <w:rPr>
          <w:b/>
          <w:szCs w:val="21"/>
        </w:rPr>
        <w:t xml:space="preserve"> </w:t>
      </w:r>
      <w:r>
        <w:rPr>
          <w:rFonts w:hint="eastAsia"/>
          <w:szCs w:val="21"/>
        </w:rPr>
        <w:t>《光伏发电站设计规范》GB 50797</w:t>
      </w:r>
    </w:p>
    <w:p>
      <w:pPr>
        <w:spacing w:line="240" w:lineRule="auto"/>
        <w:ind w:firstLine="421" w:firstLineChars="200"/>
        <w:jc w:val="left"/>
        <w:rPr>
          <w:rFonts w:cs="宋体"/>
          <w:szCs w:val="21"/>
        </w:rPr>
      </w:pPr>
      <w:r>
        <w:rPr>
          <w:rFonts w:hint="eastAsia"/>
          <w:b/>
          <w:bCs/>
          <w:szCs w:val="21"/>
        </w:rPr>
        <w:t>23</w:t>
      </w:r>
      <w:r>
        <w:rPr>
          <w:rFonts w:hint="eastAsia"/>
          <w:b/>
          <w:szCs w:val="21"/>
        </w:rPr>
        <w:t xml:space="preserve"> </w:t>
      </w:r>
      <w:r>
        <w:rPr>
          <w:b/>
          <w:szCs w:val="21"/>
        </w:rPr>
        <w:t xml:space="preserve"> </w:t>
      </w:r>
      <w:r>
        <w:rPr>
          <w:rFonts w:hint="eastAsia"/>
          <w:szCs w:val="21"/>
        </w:rPr>
        <w:t>《消防给水及消火栓系统技术规范》GB 50974</w:t>
      </w:r>
    </w:p>
    <w:p>
      <w:pPr>
        <w:spacing w:line="240" w:lineRule="auto"/>
        <w:ind w:firstLine="421" w:firstLineChars="200"/>
        <w:jc w:val="left"/>
        <w:rPr>
          <w:rFonts w:cs="宋体"/>
          <w:szCs w:val="21"/>
        </w:rPr>
      </w:pPr>
      <w:r>
        <w:rPr>
          <w:rFonts w:hint="eastAsia"/>
          <w:b/>
          <w:bCs/>
          <w:szCs w:val="21"/>
        </w:rPr>
        <w:t>24</w:t>
      </w:r>
      <w:r>
        <w:rPr>
          <w:rFonts w:hint="eastAsia"/>
          <w:b/>
          <w:szCs w:val="21"/>
        </w:rPr>
        <w:t xml:space="preserve"> </w:t>
      </w:r>
      <w:r>
        <w:rPr>
          <w:b/>
          <w:szCs w:val="21"/>
        </w:rPr>
        <w:t xml:space="preserve"> </w:t>
      </w:r>
      <w:r>
        <w:rPr>
          <w:rFonts w:hint="eastAsia" w:cs="宋体"/>
          <w:szCs w:val="21"/>
        </w:rPr>
        <w:t>《混凝土结构耐久性设计标准》GB/T 50476</w:t>
      </w:r>
    </w:p>
    <w:p>
      <w:pPr>
        <w:spacing w:line="240" w:lineRule="auto"/>
        <w:ind w:firstLine="421" w:firstLineChars="200"/>
        <w:jc w:val="left"/>
        <w:rPr>
          <w:rFonts w:cs="宋体"/>
          <w:szCs w:val="21"/>
        </w:rPr>
      </w:pPr>
      <w:bookmarkStart w:id="378" w:name="OLE_LINK177"/>
      <w:r>
        <w:rPr>
          <w:rFonts w:hint="eastAsia"/>
          <w:b/>
          <w:bCs/>
          <w:szCs w:val="21"/>
        </w:rPr>
        <w:t>25</w:t>
      </w:r>
      <w:r>
        <w:rPr>
          <w:rFonts w:hint="eastAsia"/>
          <w:b/>
          <w:szCs w:val="21"/>
        </w:rPr>
        <w:t xml:space="preserve"> </w:t>
      </w:r>
      <w:r>
        <w:rPr>
          <w:b/>
          <w:szCs w:val="21"/>
        </w:rPr>
        <w:t xml:space="preserve"> </w:t>
      </w:r>
      <w:bookmarkEnd w:id="378"/>
      <w:r>
        <w:rPr>
          <w:rFonts w:hint="eastAsia" w:cs="宋体"/>
          <w:szCs w:val="21"/>
        </w:rPr>
        <w:t>《建筑与市政工程绿色施工评价标准》</w:t>
      </w:r>
      <w:bookmarkStart w:id="379" w:name="OLE_LINK175"/>
      <w:bookmarkStart w:id="380" w:name="OLE_LINK176"/>
      <w:r>
        <w:rPr>
          <w:rFonts w:hint="eastAsia" w:cs="宋体"/>
          <w:szCs w:val="21"/>
        </w:rPr>
        <w:t xml:space="preserve">GB/T </w:t>
      </w:r>
      <w:bookmarkEnd w:id="379"/>
      <w:bookmarkEnd w:id="380"/>
      <w:r>
        <w:rPr>
          <w:rFonts w:hint="eastAsia" w:cs="宋体"/>
          <w:szCs w:val="21"/>
        </w:rPr>
        <w:t>50640</w:t>
      </w:r>
    </w:p>
    <w:p>
      <w:pPr>
        <w:spacing w:line="240" w:lineRule="auto"/>
        <w:ind w:firstLine="421" w:firstLineChars="200"/>
        <w:jc w:val="left"/>
        <w:rPr>
          <w:rFonts w:cs="宋体"/>
          <w:szCs w:val="21"/>
        </w:rPr>
      </w:pPr>
      <w:r>
        <w:rPr>
          <w:rFonts w:hint="eastAsia"/>
          <w:b/>
          <w:bCs/>
          <w:szCs w:val="21"/>
        </w:rPr>
        <w:t>26</w:t>
      </w:r>
      <w:r>
        <w:rPr>
          <w:rFonts w:hint="eastAsia"/>
          <w:b/>
          <w:szCs w:val="21"/>
        </w:rPr>
        <w:t xml:space="preserve"> </w:t>
      </w:r>
      <w:r>
        <w:rPr>
          <w:b/>
          <w:szCs w:val="21"/>
        </w:rPr>
        <w:t xml:space="preserve"> </w:t>
      </w:r>
      <w:r>
        <w:rPr>
          <w:rFonts w:hint="eastAsia" w:cs="宋体"/>
          <w:szCs w:val="21"/>
        </w:rPr>
        <w:t>《风力发电场设计规范》</w:t>
      </w:r>
      <w:r>
        <w:rPr>
          <w:rFonts w:cs="宋体"/>
          <w:szCs w:val="21"/>
        </w:rPr>
        <w:t>GB/T</w:t>
      </w:r>
      <w:r>
        <w:rPr>
          <w:rFonts w:hint="eastAsia" w:cs="宋体"/>
          <w:szCs w:val="21"/>
        </w:rPr>
        <w:t xml:space="preserve"> 51096</w:t>
      </w:r>
    </w:p>
    <w:p>
      <w:pPr>
        <w:spacing w:line="240" w:lineRule="auto"/>
        <w:ind w:firstLine="421" w:firstLineChars="200"/>
        <w:jc w:val="left"/>
        <w:rPr>
          <w:rFonts w:cs="宋体"/>
          <w:szCs w:val="21"/>
        </w:rPr>
      </w:pPr>
      <w:r>
        <w:rPr>
          <w:rFonts w:hint="eastAsia"/>
          <w:b/>
          <w:bCs/>
          <w:szCs w:val="21"/>
        </w:rPr>
        <w:t>27</w:t>
      </w:r>
      <w:r>
        <w:rPr>
          <w:rFonts w:hint="eastAsia"/>
          <w:b/>
          <w:szCs w:val="21"/>
        </w:rPr>
        <w:t xml:space="preserve"> </w:t>
      </w:r>
      <w:r>
        <w:rPr>
          <w:rFonts w:hint="eastAsia" w:cs="宋体"/>
          <w:szCs w:val="21"/>
        </w:rPr>
        <w:t xml:space="preserve"> 《海绵城市建设评价标准》GB/T 51345</w:t>
      </w:r>
    </w:p>
    <w:p>
      <w:pPr>
        <w:spacing w:line="240" w:lineRule="auto"/>
        <w:ind w:firstLine="421" w:firstLineChars="200"/>
        <w:jc w:val="left"/>
        <w:rPr>
          <w:rFonts w:cs="宋体"/>
          <w:szCs w:val="21"/>
        </w:rPr>
      </w:pPr>
      <w:r>
        <w:rPr>
          <w:rFonts w:hint="eastAsia"/>
          <w:b/>
          <w:bCs/>
          <w:szCs w:val="21"/>
        </w:rPr>
        <w:t>28</w:t>
      </w:r>
      <w:r>
        <w:rPr>
          <w:rFonts w:hint="eastAsia"/>
          <w:b/>
          <w:szCs w:val="21"/>
        </w:rPr>
        <w:t xml:space="preserve"> </w:t>
      </w:r>
      <w:r>
        <w:rPr>
          <w:b/>
          <w:szCs w:val="21"/>
        </w:rPr>
        <w:t xml:space="preserve"> </w:t>
      </w:r>
      <w:r>
        <w:rPr>
          <w:rFonts w:hint="eastAsia" w:cs="宋体"/>
          <w:szCs w:val="21"/>
        </w:rPr>
        <w:t>《近零能耗建筑技术标准》GB/T 51350</w:t>
      </w:r>
    </w:p>
    <w:p>
      <w:pPr>
        <w:spacing w:line="240" w:lineRule="auto"/>
        <w:ind w:firstLine="421" w:firstLineChars="200"/>
        <w:jc w:val="left"/>
        <w:rPr>
          <w:szCs w:val="21"/>
        </w:rPr>
      </w:pPr>
      <w:r>
        <w:rPr>
          <w:rFonts w:hint="eastAsia"/>
          <w:b/>
          <w:bCs/>
          <w:szCs w:val="21"/>
        </w:rPr>
        <w:t>29</w:t>
      </w:r>
      <w:r>
        <w:rPr>
          <w:rFonts w:hint="eastAsia"/>
          <w:b/>
          <w:szCs w:val="21"/>
        </w:rPr>
        <w:t xml:space="preserve"> </w:t>
      </w:r>
      <w:r>
        <w:rPr>
          <w:rFonts w:hint="eastAsia"/>
          <w:szCs w:val="21"/>
        </w:rPr>
        <w:t xml:space="preserve"> </w:t>
      </w:r>
      <w:bookmarkStart w:id="381" w:name="OLE_LINK23"/>
      <w:r>
        <w:rPr>
          <w:rFonts w:hint="eastAsia" w:cs="宋体"/>
          <w:szCs w:val="21"/>
        </w:rPr>
        <w:t>《建筑碳排放计算标准》GB/T 51366</w:t>
      </w:r>
    </w:p>
    <w:bookmarkEnd w:id="381"/>
    <w:p>
      <w:pPr>
        <w:spacing w:line="240" w:lineRule="auto"/>
        <w:ind w:firstLine="421" w:firstLineChars="200"/>
        <w:jc w:val="left"/>
        <w:rPr>
          <w:rFonts w:cs="宋体"/>
          <w:szCs w:val="21"/>
        </w:rPr>
      </w:pPr>
      <w:bookmarkStart w:id="382" w:name="OLE_LINK184"/>
      <w:r>
        <w:rPr>
          <w:rFonts w:hint="eastAsia"/>
          <w:b/>
          <w:bCs/>
          <w:szCs w:val="21"/>
        </w:rPr>
        <w:t>30</w:t>
      </w:r>
      <w:r>
        <w:rPr>
          <w:rFonts w:hint="eastAsia"/>
          <w:b/>
          <w:szCs w:val="21"/>
        </w:rPr>
        <w:t xml:space="preserve"> </w:t>
      </w:r>
      <w:r>
        <w:rPr>
          <w:b/>
          <w:szCs w:val="21"/>
        </w:rPr>
        <w:t xml:space="preserve"> </w:t>
      </w:r>
      <w:bookmarkEnd w:id="382"/>
      <w:r>
        <w:rPr>
          <w:rFonts w:hint="eastAsia" w:cs="宋体"/>
          <w:szCs w:val="21"/>
        </w:rPr>
        <w:t>《综合能耗计算通则》GB/T 2589</w:t>
      </w:r>
    </w:p>
    <w:p>
      <w:pPr>
        <w:spacing w:line="240" w:lineRule="auto"/>
        <w:ind w:firstLine="421" w:firstLineChars="200"/>
        <w:jc w:val="left"/>
        <w:rPr>
          <w:rFonts w:cs="宋体"/>
          <w:szCs w:val="21"/>
        </w:rPr>
      </w:pPr>
      <w:r>
        <w:rPr>
          <w:rFonts w:hint="eastAsia"/>
          <w:b/>
          <w:bCs/>
          <w:szCs w:val="21"/>
        </w:rPr>
        <w:t>31</w:t>
      </w:r>
      <w:r>
        <w:rPr>
          <w:rFonts w:hint="eastAsia"/>
          <w:b/>
          <w:szCs w:val="21"/>
        </w:rPr>
        <w:t xml:space="preserve"> </w:t>
      </w:r>
      <w:r>
        <w:rPr>
          <w:b/>
          <w:szCs w:val="21"/>
        </w:rPr>
        <w:t xml:space="preserve"> </w:t>
      </w:r>
      <w:r>
        <w:rPr>
          <w:rFonts w:hint="eastAsia" w:cs="宋体"/>
          <w:szCs w:val="21"/>
        </w:rPr>
        <w:t>《风能发电系统 风力发电机组通用技术条件和试验方法》GB/T 19960</w:t>
      </w:r>
    </w:p>
    <w:p>
      <w:pPr>
        <w:spacing w:line="240" w:lineRule="auto"/>
        <w:ind w:firstLine="421" w:firstLineChars="200"/>
        <w:jc w:val="left"/>
        <w:rPr>
          <w:rFonts w:cs="宋体"/>
          <w:szCs w:val="21"/>
        </w:rPr>
      </w:pPr>
      <w:r>
        <w:rPr>
          <w:rFonts w:hint="eastAsia"/>
          <w:b/>
          <w:bCs/>
          <w:szCs w:val="21"/>
        </w:rPr>
        <w:t>32</w:t>
      </w:r>
      <w:r>
        <w:rPr>
          <w:rFonts w:hint="eastAsia"/>
          <w:b/>
          <w:szCs w:val="21"/>
        </w:rPr>
        <w:t xml:space="preserve"> </w:t>
      </w:r>
      <w:r>
        <w:rPr>
          <w:b/>
          <w:szCs w:val="21"/>
        </w:rPr>
        <w:t xml:space="preserve"> </w:t>
      </w:r>
      <w:bookmarkStart w:id="383" w:name="OLE_LINK105"/>
      <w:r>
        <w:rPr>
          <w:rFonts w:hint="eastAsia" w:cs="宋体"/>
          <w:szCs w:val="21"/>
        </w:rPr>
        <w:t>《能源管理体系 要求及使用指南》GB/T 23331</w:t>
      </w:r>
    </w:p>
    <w:bookmarkEnd w:id="383"/>
    <w:p>
      <w:pPr>
        <w:spacing w:line="240" w:lineRule="auto"/>
        <w:ind w:firstLine="421" w:firstLineChars="200"/>
        <w:jc w:val="left"/>
        <w:rPr>
          <w:rFonts w:cs="宋体"/>
          <w:szCs w:val="21"/>
        </w:rPr>
      </w:pPr>
      <w:r>
        <w:rPr>
          <w:rFonts w:hint="eastAsia"/>
          <w:b/>
          <w:bCs/>
          <w:szCs w:val="21"/>
        </w:rPr>
        <w:t>33</w:t>
      </w:r>
      <w:r>
        <w:rPr>
          <w:rFonts w:hint="eastAsia"/>
          <w:b/>
          <w:szCs w:val="21"/>
        </w:rPr>
        <w:t xml:space="preserve"> </w:t>
      </w:r>
      <w:r>
        <w:rPr>
          <w:b/>
          <w:szCs w:val="21"/>
        </w:rPr>
        <w:t xml:space="preserve"> </w:t>
      </w:r>
      <w:r>
        <w:rPr>
          <w:rFonts w:hint="eastAsia" w:cs="宋体"/>
          <w:szCs w:val="21"/>
        </w:rPr>
        <w:t xml:space="preserve">《基于项目的温室气体减排量评估技术规范 通用要求》GB/T 33760   </w:t>
      </w:r>
    </w:p>
    <w:p>
      <w:pPr>
        <w:spacing w:line="240" w:lineRule="auto"/>
        <w:ind w:firstLine="421" w:firstLineChars="200"/>
        <w:jc w:val="left"/>
        <w:rPr>
          <w:rFonts w:cs="宋体"/>
          <w:szCs w:val="21"/>
        </w:rPr>
      </w:pPr>
      <w:r>
        <w:rPr>
          <w:rFonts w:hint="eastAsia"/>
          <w:b/>
          <w:bCs/>
          <w:szCs w:val="21"/>
        </w:rPr>
        <w:t>34</w:t>
      </w:r>
      <w:r>
        <w:rPr>
          <w:rFonts w:hint="eastAsia"/>
          <w:b/>
          <w:szCs w:val="21"/>
        </w:rPr>
        <w:t xml:space="preserve"> </w:t>
      </w:r>
      <w:r>
        <w:rPr>
          <w:b/>
          <w:szCs w:val="21"/>
        </w:rPr>
        <w:t xml:space="preserve"> </w:t>
      </w:r>
      <w:r>
        <w:rPr>
          <w:rFonts w:hint="eastAsia" w:cs="宋体"/>
          <w:szCs w:val="21"/>
        </w:rPr>
        <w:t>《公路工程技术标准》JTG B01</w:t>
      </w:r>
    </w:p>
    <w:p>
      <w:pPr>
        <w:spacing w:line="240" w:lineRule="auto"/>
        <w:ind w:firstLine="421" w:firstLineChars="200"/>
        <w:jc w:val="left"/>
        <w:rPr>
          <w:rFonts w:cs="宋体"/>
          <w:szCs w:val="21"/>
        </w:rPr>
      </w:pPr>
      <w:r>
        <w:rPr>
          <w:rFonts w:hint="eastAsia"/>
          <w:b/>
          <w:bCs/>
          <w:szCs w:val="21"/>
        </w:rPr>
        <w:t>35</w:t>
      </w:r>
      <w:r>
        <w:rPr>
          <w:rFonts w:hint="eastAsia"/>
          <w:b/>
          <w:szCs w:val="21"/>
        </w:rPr>
        <w:t xml:space="preserve"> </w:t>
      </w:r>
      <w:r>
        <w:rPr>
          <w:b/>
          <w:szCs w:val="21"/>
        </w:rPr>
        <w:t xml:space="preserve"> </w:t>
      </w:r>
      <w:r>
        <w:rPr>
          <w:rFonts w:hint="eastAsia" w:cs="宋体"/>
          <w:szCs w:val="21"/>
        </w:rPr>
        <w:t>《公路隧道设计规范 第二册 交通工程与附属设施》JTG D70/2</w:t>
      </w:r>
    </w:p>
    <w:p>
      <w:pPr>
        <w:spacing w:line="240" w:lineRule="auto"/>
        <w:ind w:firstLine="421" w:firstLineChars="200"/>
        <w:jc w:val="left"/>
        <w:rPr>
          <w:rFonts w:cs="宋体"/>
          <w:szCs w:val="21"/>
        </w:rPr>
      </w:pPr>
      <w:r>
        <w:rPr>
          <w:rFonts w:hint="eastAsia"/>
          <w:b/>
          <w:bCs/>
          <w:szCs w:val="21"/>
        </w:rPr>
        <w:t>36</w:t>
      </w:r>
      <w:r>
        <w:rPr>
          <w:rFonts w:hint="eastAsia"/>
          <w:b/>
          <w:szCs w:val="21"/>
        </w:rPr>
        <w:t xml:space="preserve"> </w:t>
      </w:r>
      <w:r>
        <w:rPr>
          <w:b/>
          <w:szCs w:val="21"/>
        </w:rPr>
        <w:t xml:space="preserve"> </w:t>
      </w:r>
      <w:r>
        <w:rPr>
          <w:rFonts w:hint="eastAsia" w:cs="宋体"/>
          <w:szCs w:val="21"/>
        </w:rPr>
        <w:t>《公路隧道设计规范 第一册 土建工程》JTG 3370</w:t>
      </w:r>
    </w:p>
    <w:p>
      <w:pPr>
        <w:spacing w:line="240" w:lineRule="auto"/>
        <w:ind w:firstLine="421" w:firstLineChars="200"/>
        <w:jc w:val="left"/>
        <w:rPr>
          <w:rFonts w:cs="宋体"/>
          <w:szCs w:val="21"/>
        </w:rPr>
      </w:pPr>
      <w:r>
        <w:rPr>
          <w:rFonts w:hint="eastAsia"/>
          <w:b/>
          <w:bCs/>
          <w:szCs w:val="21"/>
        </w:rPr>
        <w:t>37</w:t>
      </w:r>
      <w:r>
        <w:rPr>
          <w:rFonts w:hint="eastAsia"/>
          <w:b/>
          <w:szCs w:val="21"/>
        </w:rPr>
        <w:t xml:space="preserve"> </w:t>
      </w:r>
      <w:r>
        <w:rPr>
          <w:b/>
          <w:szCs w:val="21"/>
        </w:rPr>
        <w:t xml:space="preserve"> </w:t>
      </w:r>
      <w:r>
        <w:rPr>
          <w:rFonts w:hint="eastAsia" w:cs="宋体"/>
          <w:szCs w:val="21"/>
        </w:rPr>
        <w:t>《公路工程建设项目投资估算编制办法》JTG 3820</w:t>
      </w:r>
    </w:p>
    <w:p>
      <w:pPr>
        <w:spacing w:line="240" w:lineRule="auto"/>
        <w:ind w:firstLine="421" w:firstLineChars="200"/>
        <w:jc w:val="left"/>
        <w:rPr>
          <w:rFonts w:cs="宋体"/>
          <w:szCs w:val="21"/>
        </w:rPr>
      </w:pPr>
      <w:r>
        <w:rPr>
          <w:rFonts w:hint="eastAsia"/>
          <w:b/>
          <w:bCs/>
          <w:szCs w:val="21"/>
        </w:rPr>
        <w:t>38</w:t>
      </w:r>
      <w:r>
        <w:rPr>
          <w:rFonts w:hint="eastAsia"/>
          <w:b/>
          <w:szCs w:val="21"/>
        </w:rPr>
        <w:t xml:space="preserve"> </w:t>
      </w:r>
      <w:r>
        <w:rPr>
          <w:b/>
          <w:szCs w:val="21"/>
        </w:rPr>
        <w:t xml:space="preserve"> </w:t>
      </w:r>
      <w:r>
        <w:rPr>
          <w:rFonts w:hint="eastAsia" w:cs="宋体"/>
          <w:szCs w:val="21"/>
        </w:rPr>
        <w:t>《公路工程建设项目概算预算编制办法》JTG 3830</w:t>
      </w:r>
    </w:p>
    <w:p>
      <w:pPr>
        <w:spacing w:line="240" w:lineRule="auto"/>
        <w:ind w:firstLine="421" w:firstLineChars="200"/>
        <w:jc w:val="left"/>
        <w:rPr>
          <w:rFonts w:cs="宋体"/>
          <w:szCs w:val="21"/>
        </w:rPr>
      </w:pPr>
      <w:r>
        <w:rPr>
          <w:rFonts w:hint="eastAsia"/>
          <w:b/>
          <w:bCs/>
          <w:szCs w:val="21"/>
        </w:rPr>
        <w:t>39</w:t>
      </w:r>
      <w:r>
        <w:rPr>
          <w:rFonts w:hint="eastAsia"/>
          <w:b/>
          <w:szCs w:val="21"/>
        </w:rPr>
        <w:t xml:space="preserve"> </w:t>
      </w:r>
      <w:r>
        <w:rPr>
          <w:b/>
          <w:szCs w:val="21"/>
        </w:rPr>
        <w:t xml:space="preserve"> </w:t>
      </w:r>
      <w:r>
        <w:rPr>
          <w:rFonts w:hint="eastAsia" w:cs="宋体"/>
          <w:szCs w:val="21"/>
        </w:rPr>
        <w:t>《公路隧道照明设计细则》JTG/T D70/2-01</w:t>
      </w:r>
    </w:p>
    <w:p>
      <w:pPr>
        <w:spacing w:line="240" w:lineRule="auto"/>
        <w:ind w:firstLine="421" w:firstLineChars="200"/>
        <w:jc w:val="left"/>
        <w:rPr>
          <w:szCs w:val="21"/>
        </w:rPr>
      </w:pPr>
      <w:r>
        <w:rPr>
          <w:rFonts w:hint="eastAsia"/>
          <w:b/>
          <w:bCs/>
          <w:szCs w:val="21"/>
        </w:rPr>
        <w:t>40</w:t>
      </w:r>
      <w:r>
        <w:rPr>
          <w:rFonts w:hint="eastAsia"/>
          <w:b/>
          <w:szCs w:val="21"/>
        </w:rPr>
        <w:t xml:space="preserve">  </w:t>
      </w:r>
      <w:r>
        <w:rPr>
          <w:rFonts w:hint="eastAsia" w:cs="宋体"/>
          <w:szCs w:val="21"/>
        </w:rPr>
        <w:t xml:space="preserve">《公路隧道通风设计细则》JTG/T D70/2-02  </w:t>
      </w:r>
    </w:p>
    <w:p>
      <w:pPr>
        <w:spacing w:line="240" w:lineRule="auto"/>
        <w:ind w:firstLine="421" w:firstLineChars="200"/>
        <w:jc w:val="left"/>
        <w:rPr>
          <w:rFonts w:cs="宋体"/>
          <w:szCs w:val="21"/>
        </w:rPr>
      </w:pPr>
      <w:r>
        <w:rPr>
          <w:rFonts w:hint="eastAsia"/>
          <w:b/>
          <w:bCs/>
          <w:szCs w:val="21"/>
        </w:rPr>
        <w:t>41</w:t>
      </w:r>
      <w:r>
        <w:rPr>
          <w:rFonts w:hint="eastAsia"/>
          <w:b/>
          <w:szCs w:val="21"/>
        </w:rPr>
        <w:t xml:space="preserve">  </w:t>
      </w:r>
      <w:r>
        <w:rPr>
          <w:rFonts w:hint="eastAsia" w:cs="宋体"/>
          <w:szCs w:val="21"/>
        </w:rPr>
        <w:t>《公路工程利用建筑垃圾技术规范》JTG/T 2321</w:t>
      </w:r>
    </w:p>
    <w:p>
      <w:pPr>
        <w:spacing w:line="240" w:lineRule="auto"/>
        <w:ind w:firstLine="421" w:firstLineChars="200"/>
        <w:jc w:val="left"/>
        <w:rPr>
          <w:rFonts w:cs="宋体"/>
          <w:szCs w:val="21"/>
        </w:rPr>
      </w:pPr>
      <w:r>
        <w:rPr>
          <w:rFonts w:hint="eastAsia"/>
          <w:b/>
          <w:bCs/>
          <w:szCs w:val="21"/>
        </w:rPr>
        <w:t>42</w:t>
      </w:r>
      <w:r>
        <w:rPr>
          <w:rFonts w:hint="eastAsia"/>
          <w:b/>
          <w:szCs w:val="21"/>
        </w:rPr>
        <w:t xml:space="preserve">  </w:t>
      </w:r>
      <w:r>
        <w:rPr>
          <w:rFonts w:hint="eastAsia" w:cs="宋体"/>
          <w:szCs w:val="21"/>
        </w:rPr>
        <w:t>《公路工程节能规范》JTG/T 2340</w:t>
      </w:r>
    </w:p>
    <w:p>
      <w:pPr>
        <w:spacing w:line="240" w:lineRule="auto"/>
        <w:ind w:firstLine="421" w:firstLineChars="200"/>
        <w:jc w:val="left"/>
        <w:rPr>
          <w:rFonts w:cs="宋体"/>
          <w:szCs w:val="21"/>
        </w:rPr>
      </w:pPr>
      <w:r>
        <w:rPr>
          <w:rFonts w:hint="eastAsia"/>
          <w:b/>
          <w:bCs/>
          <w:szCs w:val="21"/>
        </w:rPr>
        <w:t>43</w:t>
      </w:r>
      <w:r>
        <w:rPr>
          <w:rFonts w:hint="eastAsia"/>
          <w:b/>
          <w:szCs w:val="21"/>
        </w:rPr>
        <w:t xml:space="preserve">  </w:t>
      </w:r>
      <w:r>
        <w:rPr>
          <w:rFonts w:hint="eastAsia" w:cs="宋体"/>
          <w:szCs w:val="21"/>
        </w:rPr>
        <w:t>《公路桥梁景观设计规范》JTG/T 3360-03</w:t>
      </w:r>
    </w:p>
    <w:p>
      <w:pPr>
        <w:spacing w:line="240" w:lineRule="auto"/>
        <w:ind w:firstLine="421" w:firstLineChars="200"/>
        <w:jc w:val="left"/>
        <w:rPr>
          <w:rFonts w:cs="宋体"/>
          <w:szCs w:val="21"/>
        </w:rPr>
      </w:pPr>
      <w:r>
        <w:rPr>
          <w:rFonts w:hint="eastAsia"/>
          <w:b/>
          <w:bCs/>
          <w:szCs w:val="21"/>
        </w:rPr>
        <w:t>44</w:t>
      </w:r>
      <w:r>
        <w:rPr>
          <w:rFonts w:hint="eastAsia"/>
          <w:b/>
          <w:szCs w:val="21"/>
        </w:rPr>
        <w:t xml:space="preserve"> </w:t>
      </w:r>
      <w:r>
        <w:rPr>
          <w:b/>
          <w:szCs w:val="21"/>
        </w:rPr>
        <w:t xml:space="preserve"> </w:t>
      </w:r>
      <w:r>
        <w:rPr>
          <w:rFonts w:hint="eastAsia" w:cs="宋体"/>
          <w:szCs w:val="21"/>
        </w:rPr>
        <w:t xml:space="preserve">《公路涵洞设计规范》JTG/T 3365-02 </w:t>
      </w:r>
    </w:p>
    <w:p>
      <w:pPr>
        <w:spacing w:line="240" w:lineRule="auto"/>
        <w:ind w:firstLine="421" w:firstLineChars="200"/>
        <w:jc w:val="left"/>
        <w:rPr>
          <w:szCs w:val="21"/>
        </w:rPr>
      </w:pPr>
      <w:r>
        <w:rPr>
          <w:rFonts w:hint="eastAsia"/>
          <w:b/>
          <w:bCs/>
          <w:szCs w:val="21"/>
        </w:rPr>
        <w:t>45</w:t>
      </w:r>
      <w:r>
        <w:rPr>
          <w:rFonts w:hint="eastAsia"/>
          <w:b/>
          <w:szCs w:val="21"/>
        </w:rPr>
        <w:t xml:space="preserve"> </w:t>
      </w:r>
      <w:r>
        <w:rPr>
          <w:b/>
          <w:szCs w:val="21"/>
        </w:rPr>
        <w:t xml:space="preserve"> </w:t>
      </w:r>
      <w:bookmarkStart w:id="384" w:name="OLE_LINK106"/>
      <w:r>
        <w:rPr>
          <w:rFonts w:hint="eastAsia" w:cs="宋体"/>
          <w:szCs w:val="21"/>
        </w:rPr>
        <w:t>《公路工程概算定额》JTG/T 3831</w:t>
      </w:r>
    </w:p>
    <w:bookmarkEnd w:id="384"/>
    <w:p>
      <w:pPr>
        <w:spacing w:line="240" w:lineRule="auto"/>
        <w:ind w:firstLine="421" w:firstLineChars="200"/>
        <w:jc w:val="left"/>
        <w:rPr>
          <w:rFonts w:cs="宋体"/>
          <w:szCs w:val="21"/>
        </w:rPr>
      </w:pPr>
      <w:r>
        <w:rPr>
          <w:rFonts w:hint="eastAsia"/>
          <w:b/>
          <w:bCs/>
          <w:szCs w:val="21"/>
        </w:rPr>
        <w:t>46</w:t>
      </w:r>
      <w:r>
        <w:rPr>
          <w:rFonts w:hint="eastAsia"/>
          <w:b/>
          <w:szCs w:val="21"/>
        </w:rPr>
        <w:t xml:space="preserve"> </w:t>
      </w:r>
      <w:r>
        <w:rPr>
          <w:b/>
          <w:szCs w:val="21"/>
        </w:rPr>
        <w:t xml:space="preserve"> </w:t>
      </w:r>
      <w:r>
        <w:rPr>
          <w:rFonts w:hint="eastAsia" w:cs="宋体"/>
          <w:szCs w:val="21"/>
        </w:rPr>
        <w:t>《公路工程预算定额》JTG/T 3832</w:t>
      </w:r>
    </w:p>
    <w:p>
      <w:pPr>
        <w:spacing w:line="240" w:lineRule="auto"/>
        <w:ind w:firstLine="421" w:firstLineChars="200"/>
        <w:jc w:val="left"/>
        <w:rPr>
          <w:rFonts w:cs="宋体"/>
          <w:szCs w:val="21"/>
        </w:rPr>
      </w:pPr>
      <w:r>
        <w:rPr>
          <w:rFonts w:hint="eastAsia"/>
          <w:b/>
          <w:bCs/>
          <w:szCs w:val="21"/>
        </w:rPr>
        <w:t>47</w:t>
      </w:r>
      <w:r>
        <w:rPr>
          <w:rFonts w:hint="eastAsia"/>
          <w:b/>
          <w:szCs w:val="21"/>
        </w:rPr>
        <w:t xml:space="preserve"> </w:t>
      </w:r>
      <w:r>
        <w:rPr>
          <w:b/>
          <w:szCs w:val="21"/>
        </w:rPr>
        <w:t xml:space="preserve"> </w:t>
      </w:r>
      <w:r>
        <w:rPr>
          <w:rFonts w:hint="eastAsia" w:cs="宋体"/>
          <w:szCs w:val="21"/>
        </w:rPr>
        <w:t>《公路工程机械台班费用定额》JTG/T 3833</w:t>
      </w:r>
    </w:p>
    <w:p>
      <w:pPr>
        <w:spacing w:line="240" w:lineRule="auto"/>
        <w:ind w:firstLine="421" w:firstLineChars="200"/>
        <w:jc w:val="left"/>
        <w:rPr>
          <w:b/>
          <w:szCs w:val="21"/>
        </w:rPr>
      </w:pPr>
      <w:r>
        <w:rPr>
          <w:rFonts w:hint="eastAsia"/>
          <w:b/>
          <w:bCs/>
          <w:szCs w:val="21"/>
        </w:rPr>
        <w:t>48</w:t>
      </w:r>
      <w:r>
        <w:rPr>
          <w:rFonts w:hint="eastAsia"/>
          <w:b/>
          <w:szCs w:val="21"/>
        </w:rPr>
        <w:t xml:space="preserve"> </w:t>
      </w:r>
      <w:r>
        <w:rPr>
          <w:b/>
          <w:szCs w:val="21"/>
        </w:rPr>
        <w:t xml:space="preserve"> </w:t>
      </w:r>
      <w:r>
        <w:rPr>
          <w:rFonts w:hint="eastAsia" w:cs="宋体"/>
          <w:szCs w:val="21"/>
        </w:rPr>
        <w:t>《绿色交通设施评估技术要求 第1部分：绿色公路》JT/T 1199.1</w:t>
      </w:r>
    </w:p>
    <w:p>
      <w:pPr>
        <w:spacing w:line="240" w:lineRule="auto"/>
        <w:ind w:firstLine="421" w:firstLineChars="200"/>
        <w:jc w:val="left"/>
        <w:rPr>
          <w:rFonts w:cs="宋体"/>
          <w:szCs w:val="21"/>
        </w:rPr>
      </w:pPr>
      <w:r>
        <w:rPr>
          <w:rFonts w:hint="eastAsia"/>
          <w:b/>
          <w:bCs/>
          <w:szCs w:val="21"/>
        </w:rPr>
        <w:t>49</w:t>
      </w:r>
      <w:r>
        <w:rPr>
          <w:rFonts w:hint="eastAsia"/>
          <w:b/>
          <w:szCs w:val="21"/>
        </w:rPr>
        <w:t xml:space="preserve"> </w:t>
      </w:r>
      <w:r>
        <w:rPr>
          <w:b/>
          <w:szCs w:val="21"/>
        </w:rPr>
        <w:t xml:space="preserve"> </w:t>
      </w:r>
      <w:r>
        <w:rPr>
          <w:rFonts w:hint="eastAsia" w:cs="宋体"/>
          <w:szCs w:val="21"/>
        </w:rPr>
        <w:t>《城市桥梁设计规范》CJJ 11</w:t>
      </w:r>
    </w:p>
    <w:p>
      <w:pPr>
        <w:spacing w:line="240" w:lineRule="auto"/>
        <w:ind w:firstLine="421" w:firstLineChars="200"/>
        <w:jc w:val="left"/>
        <w:rPr>
          <w:rFonts w:cs="宋体"/>
          <w:szCs w:val="21"/>
        </w:rPr>
      </w:pPr>
      <w:r>
        <w:rPr>
          <w:rFonts w:hint="eastAsia"/>
          <w:b/>
          <w:bCs/>
          <w:szCs w:val="21"/>
        </w:rPr>
        <w:t>50</w:t>
      </w:r>
      <w:r>
        <w:rPr>
          <w:rFonts w:hint="eastAsia"/>
          <w:b/>
          <w:szCs w:val="21"/>
        </w:rPr>
        <w:t xml:space="preserve"> </w:t>
      </w:r>
      <w:r>
        <w:rPr>
          <w:b/>
          <w:szCs w:val="21"/>
        </w:rPr>
        <w:t xml:space="preserve"> </w:t>
      </w:r>
      <w:r>
        <w:rPr>
          <w:rFonts w:hint="eastAsia" w:cs="宋体"/>
          <w:szCs w:val="21"/>
        </w:rPr>
        <w:t>《城市道路工程设计规范》CJJ 37</w:t>
      </w:r>
    </w:p>
    <w:p>
      <w:pPr>
        <w:spacing w:line="240" w:lineRule="auto"/>
        <w:ind w:firstLine="421" w:firstLineChars="200"/>
        <w:jc w:val="left"/>
        <w:rPr>
          <w:rFonts w:cs="宋体"/>
          <w:szCs w:val="21"/>
        </w:rPr>
      </w:pPr>
      <w:r>
        <w:rPr>
          <w:rFonts w:hint="eastAsia"/>
          <w:b/>
          <w:bCs/>
          <w:szCs w:val="21"/>
        </w:rPr>
        <w:t>51</w:t>
      </w:r>
      <w:r>
        <w:rPr>
          <w:rFonts w:hint="eastAsia"/>
          <w:b/>
          <w:szCs w:val="21"/>
        </w:rPr>
        <w:t xml:space="preserve"> </w:t>
      </w:r>
      <w:r>
        <w:rPr>
          <w:b/>
          <w:szCs w:val="21"/>
        </w:rPr>
        <w:t xml:space="preserve"> </w:t>
      </w:r>
      <w:r>
        <w:rPr>
          <w:rFonts w:hint="eastAsia" w:cs="宋体"/>
          <w:szCs w:val="21"/>
        </w:rPr>
        <w:t>《城市道路照明设计标准》CJJ 45</w:t>
      </w:r>
    </w:p>
    <w:p>
      <w:pPr>
        <w:spacing w:line="240" w:lineRule="auto"/>
        <w:ind w:firstLine="421" w:firstLineChars="200"/>
        <w:jc w:val="left"/>
        <w:rPr>
          <w:rFonts w:cs="宋体"/>
          <w:szCs w:val="21"/>
        </w:rPr>
      </w:pPr>
      <w:r>
        <w:rPr>
          <w:rFonts w:hint="eastAsia"/>
          <w:b/>
          <w:bCs/>
          <w:szCs w:val="21"/>
        </w:rPr>
        <w:t>52</w:t>
      </w:r>
      <w:r>
        <w:rPr>
          <w:rFonts w:hint="eastAsia"/>
          <w:b/>
          <w:szCs w:val="21"/>
        </w:rPr>
        <w:t xml:space="preserve"> </w:t>
      </w:r>
      <w:r>
        <w:rPr>
          <w:b/>
          <w:szCs w:val="21"/>
        </w:rPr>
        <w:t xml:space="preserve"> </w:t>
      </w:r>
      <w:r>
        <w:rPr>
          <w:rFonts w:hint="eastAsia" w:cs="宋体"/>
          <w:szCs w:val="21"/>
        </w:rPr>
        <w:t>《城市道路交叉口设计规程》CJJ 152</w:t>
      </w:r>
    </w:p>
    <w:p>
      <w:pPr>
        <w:spacing w:line="240" w:lineRule="auto"/>
        <w:ind w:firstLine="421" w:firstLineChars="200"/>
        <w:jc w:val="left"/>
        <w:rPr>
          <w:rFonts w:cs="宋体"/>
          <w:szCs w:val="21"/>
        </w:rPr>
      </w:pPr>
      <w:r>
        <w:rPr>
          <w:rFonts w:hint="eastAsia"/>
          <w:b/>
          <w:bCs/>
          <w:szCs w:val="21"/>
        </w:rPr>
        <w:t>53</w:t>
      </w:r>
      <w:r>
        <w:rPr>
          <w:rFonts w:hint="eastAsia"/>
          <w:b/>
          <w:szCs w:val="21"/>
        </w:rPr>
        <w:t xml:space="preserve"> </w:t>
      </w:r>
      <w:r>
        <w:rPr>
          <w:b/>
          <w:szCs w:val="21"/>
        </w:rPr>
        <w:t xml:space="preserve"> </w:t>
      </w:r>
      <w:r>
        <w:rPr>
          <w:rFonts w:hint="eastAsia" w:cs="宋体"/>
          <w:szCs w:val="21"/>
        </w:rPr>
        <w:t>《城镇道路路面设计规范》CJJ 169</w:t>
      </w:r>
    </w:p>
    <w:p>
      <w:pPr>
        <w:spacing w:line="240" w:lineRule="auto"/>
        <w:ind w:firstLine="421" w:firstLineChars="200"/>
        <w:jc w:val="left"/>
        <w:rPr>
          <w:szCs w:val="21"/>
        </w:rPr>
      </w:pPr>
      <w:r>
        <w:rPr>
          <w:rFonts w:hint="eastAsia"/>
          <w:b/>
          <w:bCs/>
          <w:szCs w:val="21"/>
        </w:rPr>
        <w:t>54</w:t>
      </w:r>
      <w:r>
        <w:rPr>
          <w:rFonts w:hint="eastAsia"/>
          <w:b/>
          <w:szCs w:val="21"/>
        </w:rPr>
        <w:t xml:space="preserve"> </w:t>
      </w:r>
      <w:r>
        <w:rPr>
          <w:b/>
          <w:szCs w:val="21"/>
        </w:rPr>
        <w:t xml:space="preserve"> </w:t>
      </w:r>
      <w:r>
        <w:rPr>
          <w:rFonts w:hint="eastAsia" w:cs="宋体"/>
          <w:szCs w:val="21"/>
        </w:rPr>
        <w:t>《城市道路路线设计规范》CJJ 193</w:t>
      </w:r>
    </w:p>
    <w:p>
      <w:pPr>
        <w:spacing w:line="240" w:lineRule="auto"/>
        <w:ind w:firstLine="421" w:firstLineChars="200"/>
        <w:jc w:val="left"/>
        <w:rPr>
          <w:rFonts w:cs="宋体"/>
          <w:szCs w:val="21"/>
        </w:rPr>
      </w:pPr>
      <w:r>
        <w:rPr>
          <w:rFonts w:hint="eastAsia"/>
          <w:b/>
          <w:bCs/>
          <w:szCs w:val="21"/>
        </w:rPr>
        <w:t>55</w:t>
      </w:r>
      <w:r>
        <w:rPr>
          <w:rFonts w:hint="eastAsia"/>
          <w:b/>
          <w:szCs w:val="21"/>
        </w:rPr>
        <w:t xml:space="preserve"> </w:t>
      </w:r>
      <w:r>
        <w:rPr>
          <w:b/>
          <w:szCs w:val="21"/>
        </w:rPr>
        <w:t xml:space="preserve"> </w:t>
      </w:r>
      <w:r>
        <w:rPr>
          <w:rFonts w:hint="eastAsia" w:cs="宋体"/>
          <w:szCs w:val="21"/>
        </w:rPr>
        <w:t>《城市道路路基设计规范》CJJ 194</w:t>
      </w:r>
    </w:p>
    <w:p>
      <w:pPr>
        <w:spacing w:line="240" w:lineRule="auto"/>
        <w:ind w:firstLine="421" w:firstLineChars="200"/>
        <w:jc w:val="left"/>
        <w:rPr>
          <w:rFonts w:cs="宋体"/>
          <w:szCs w:val="21"/>
        </w:rPr>
      </w:pPr>
      <w:r>
        <w:rPr>
          <w:rFonts w:hint="eastAsia"/>
          <w:b/>
          <w:bCs/>
          <w:szCs w:val="21"/>
        </w:rPr>
        <w:t>56</w:t>
      </w:r>
      <w:r>
        <w:rPr>
          <w:rFonts w:hint="eastAsia"/>
          <w:b/>
          <w:szCs w:val="21"/>
        </w:rPr>
        <w:t xml:space="preserve"> </w:t>
      </w:r>
      <w:r>
        <w:rPr>
          <w:b/>
          <w:szCs w:val="21"/>
        </w:rPr>
        <w:t xml:space="preserve"> </w:t>
      </w:r>
      <w:r>
        <w:rPr>
          <w:rFonts w:hint="eastAsia" w:cs="宋体"/>
          <w:szCs w:val="21"/>
        </w:rPr>
        <w:t>《城市地下道路工程设计规范》CJJ 221</w:t>
      </w:r>
    </w:p>
    <w:p>
      <w:pPr>
        <w:spacing w:line="240" w:lineRule="auto"/>
        <w:ind w:firstLine="421" w:firstLineChars="200"/>
        <w:jc w:val="left"/>
        <w:rPr>
          <w:rFonts w:cs="宋体"/>
          <w:szCs w:val="21"/>
        </w:rPr>
      </w:pPr>
      <w:r>
        <w:rPr>
          <w:rFonts w:hint="eastAsia"/>
          <w:b/>
          <w:bCs/>
          <w:szCs w:val="21"/>
        </w:rPr>
        <w:t>57</w:t>
      </w:r>
      <w:r>
        <w:rPr>
          <w:rFonts w:hint="eastAsia"/>
          <w:b/>
          <w:szCs w:val="21"/>
        </w:rPr>
        <w:t xml:space="preserve"> </w:t>
      </w:r>
      <w:r>
        <w:rPr>
          <w:b/>
          <w:szCs w:val="21"/>
        </w:rPr>
        <w:t xml:space="preserve"> </w:t>
      </w:r>
      <w:r>
        <w:rPr>
          <w:rFonts w:hint="eastAsia" w:cs="宋体"/>
          <w:szCs w:val="21"/>
        </w:rPr>
        <w:t>《城市道路绿化设计标准》CJJ/T 75</w:t>
      </w:r>
    </w:p>
    <w:p>
      <w:pPr>
        <w:spacing w:line="240" w:lineRule="auto"/>
        <w:ind w:firstLine="421" w:firstLineChars="200"/>
        <w:jc w:val="left"/>
        <w:rPr>
          <w:rFonts w:cs="宋体"/>
          <w:szCs w:val="21"/>
        </w:rPr>
      </w:pPr>
      <w:r>
        <w:rPr>
          <w:rFonts w:hint="eastAsia"/>
          <w:b/>
          <w:bCs/>
          <w:szCs w:val="21"/>
        </w:rPr>
        <w:t>58</w:t>
      </w:r>
      <w:r>
        <w:rPr>
          <w:rFonts w:hint="eastAsia"/>
          <w:b/>
          <w:szCs w:val="21"/>
        </w:rPr>
        <w:t xml:space="preserve"> </w:t>
      </w:r>
      <w:r>
        <w:rPr>
          <w:b/>
          <w:szCs w:val="21"/>
        </w:rPr>
        <w:t xml:space="preserve"> </w:t>
      </w:r>
      <w:r>
        <w:rPr>
          <w:rFonts w:hint="eastAsia" w:cs="宋体"/>
          <w:szCs w:val="21"/>
        </w:rPr>
        <w:t>《建筑垃圾处理技术标准》CJJ/T 134</w:t>
      </w:r>
    </w:p>
    <w:p>
      <w:pPr>
        <w:spacing w:line="240" w:lineRule="auto"/>
        <w:ind w:firstLine="421" w:firstLineChars="200"/>
        <w:jc w:val="left"/>
        <w:rPr>
          <w:szCs w:val="21"/>
        </w:rPr>
      </w:pPr>
      <w:r>
        <w:rPr>
          <w:rFonts w:hint="eastAsia"/>
          <w:b/>
          <w:bCs/>
          <w:szCs w:val="21"/>
        </w:rPr>
        <w:t>59</w:t>
      </w:r>
      <w:r>
        <w:rPr>
          <w:rFonts w:hint="eastAsia"/>
          <w:b/>
          <w:szCs w:val="21"/>
        </w:rPr>
        <w:t xml:space="preserve"> </w:t>
      </w:r>
      <w:r>
        <w:rPr>
          <w:b/>
          <w:szCs w:val="21"/>
        </w:rPr>
        <w:t xml:space="preserve"> </w:t>
      </w:r>
      <w:r>
        <w:rPr>
          <w:rFonts w:hint="eastAsia" w:cs="宋体"/>
          <w:szCs w:val="21"/>
        </w:rPr>
        <w:t>《透水水泥混凝土路面技术规程》CJJ/T 135</w:t>
      </w:r>
    </w:p>
    <w:p>
      <w:pPr>
        <w:spacing w:line="240" w:lineRule="auto"/>
        <w:ind w:firstLine="421" w:firstLineChars="200"/>
        <w:jc w:val="left"/>
        <w:rPr>
          <w:rFonts w:cs="宋体"/>
          <w:szCs w:val="21"/>
        </w:rPr>
      </w:pPr>
      <w:r>
        <w:rPr>
          <w:rFonts w:hint="eastAsia"/>
          <w:b/>
          <w:bCs/>
          <w:szCs w:val="21"/>
        </w:rPr>
        <w:t>60</w:t>
      </w:r>
      <w:r>
        <w:rPr>
          <w:rFonts w:hint="eastAsia"/>
          <w:b/>
          <w:szCs w:val="21"/>
        </w:rPr>
        <w:t xml:space="preserve"> </w:t>
      </w:r>
      <w:r>
        <w:rPr>
          <w:b/>
          <w:szCs w:val="21"/>
        </w:rPr>
        <w:t xml:space="preserve"> </w:t>
      </w:r>
      <w:r>
        <w:rPr>
          <w:rFonts w:cs="宋体"/>
          <w:szCs w:val="21"/>
        </w:rPr>
        <w:t xml:space="preserve">《透水砖路面技术规程》CJJ/T </w:t>
      </w:r>
      <w:r>
        <w:rPr>
          <w:rFonts w:hint="eastAsia" w:cs="宋体"/>
          <w:szCs w:val="21"/>
        </w:rPr>
        <w:t>188</w:t>
      </w:r>
    </w:p>
    <w:p>
      <w:pPr>
        <w:spacing w:line="240" w:lineRule="auto"/>
        <w:ind w:firstLine="421" w:firstLineChars="200"/>
        <w:jc w:val="left"/>
        <w:rPr>
          <w:rFonts w:cs="宋体"/>
          <w:szCs w:val="21"/>
        </w:rPr>
      </w:pPr>
      <w:r>
        <w:rPr>
          <w:rFonts w:hint="eastAsia"/>
          <w:b/>
          <w:bCs/>
          <w:szCs w:val="21"/>
        </w:rPr>
        <w:t>61</w:t>
      </w:r>
      <w:r>
        <w:rPr>
          <w:rFonts w:hint="eastAsia"/>
          <w:b/>
          <w:szCs w:val="21"/>
        </w:rPr>
        <w:t xml:space="preserve"> </w:t>
      </w:r>
      <w:r>
        <w:rPr>
          <w:b/>
          <w:szCs w:val="21"/>
        </w:rPr>
        <w:t xml:space="preserve"> </w:t>
      </w:r>
      <w:r>
        <w:rPr>
          <w:rFonts w:hint="eastAsia" w:cs="宋体"/>
          <w:szCs w:val="21"/>
        </w:rPr>
        <w:t>《深圳市中低压燃气管道工程建设技术规程》SJG 20</w:t>
      </w:r>
    </w:p>
    <w:p>
      <w:pPr>
        <w:spacing w:line="240" w:lineRule="auto"/>
        <w:ind w:firstLine="421" w:firstLineChars="200"/>
        <w:jc w:val="left"/>
        <w:rPr>
          <w:rFonts w:cs="宋体"/>
          <w:szCs w:val="21"/>
        </w:rPr>
      </w:pPr>
      <w:r>
        <w:rPr>
          <w:rFonts w:hint="eastAsia"/>
          <w:b/>
          <w:bCs/>
          <w:szCs w:val="21"/>
        </w:rPr>
        <w:t>62</w:t>
      </w:r>
      <w:r>
        <w:rPr>
          <w:rFonts w:hint="eastAsia"/>
          <w:b/>
          <w:szCs w:val="21"/>
        </w:rPr>
        <w:t xml:space="preserve"> </w:t>
      </w:r>
      <w:r>
        <w:rPr>
          <w:b/>
          <w:szCs w:val="21"/>
        </w:rPr>
        <w:t xml:space="preserve"> </w:t>
      </w:r>
      <w:r>
        <w:rPr>
          <w:rFonts w:hint="eastAsia" w:cs="宋体"/>
          <w:szCs w:val="21"/>
        </w:rPr>
        <w:t>《建筑废弃物减排技术规范》SJG 21</w:t>
      </w:r>
    </w:p>
    <w:p>
      <w:pPr>
        <w:spacing w:line="240" w:lineRule="auto"/>
        <w:ind w:firstLine="421" w:firstLineChars="200"/>
        <w:jc w:val="left"/>
        <w:rPr>
          <w:rFonts w:cs="宋体"/>
          <w:szCs w:val="21"/>
        </w:rPr>
      </w:pPr>
      <w:r>
        <w:rPr>
          <w:rFonts w:hint="eastAsia"/>
          <w:b/>
          <w:bCs/>
          <w:szCs w:val="21"/>
        </w:rPr>
        <w:t>63</w:t>
      </w:r>
      <w:r>
        <w:rPr>
          <w:rFonts w:hint="eastAsia"/>
          <w:b/>
          <w:szCs w:val="21"/>
        </w:rPr>
        <w:t xml:space="preserve"> </w:t>
      </w:r>
      <w:r>
        <w:rPr>
          <w:b/>
          <w:szCs w:val="21"/>
        </w:rPr>
        <w:t xml:space="preserve"> </w:t>
      </w:r>
      <w:r>
        <w:rPr>
          <w:rFonts w:hint="eastAsia" w:cs="宋体"/>
          <w:szCs w:val="21"/>
        </w:rPr>
        <w:t>《LED道路照明工程技术规范》SJG 22</w:t>
      </w:r>
    </w:p>
    <w:p>
      <w:pPr>
        <w:spacing w:line="240" w:lineRule="auto"/>
        <w:ind w:firstLine="421" w:firstLineChars="200"/>
        <w:jc w:val="left"/>
        <w:rPr>
          <w:rFonts w:cs="宋体"/>
          <w:szCs w:val="21"/>
        </w:rPr>
      </w:pPr>
      <w:r>
        <w:rPr>
          <w:rFonts w:hint="eastAsia"/>
          <w:b/>
          <w:bCs/>
          <w:szCs w:val="21"/>
        </w:rPr>
        <w:t>64</w:t>
      </w:r>
      <w:r>
        <w:rPr>
          <w:rFonts w:hint="eastAsia"/>
          <w:b/>
          <w:szCs w:val="21"/>
        </w:rPr>
        <w:t xml:space="preserve"> </w:t>
      </w:r>
      <w:r>
        <w:rPr>
          <w:b/>
          <w:szCs w:val="21"/>
        </w:rPr>
        <w:t xml:space="preserve"> </w:t>
      </w:r>
      <w:r>
        <w:rPr>
          <w:rFonts w:hint="eastAsia" w:cs="宋体"/>
          <w:szCs w:val="21"/>
        </w:rPr>
        <w:t>《深圳市再生骨料混凝土制品技术规范》SJG 25</w:t>
      </w:r>
    </w:p>
    <w:p>
      <w:pPr>
        <w:spacing w:line="240" w:lineRule="auto"/>
        <w:ind w:firstLine="421" w:firstLineChars="200"/>
        <w:jc w:val="left"/>
        <w:rPr>
          <w:rFonts w:cs="宋体"/>
          <w:szCs w:val="21"/>
        </w:rPr>
      </w:pPr>
      <w:r>
        <w:rPr>
          <w:rFonts w:hint="eastAsia"/>
          <w:b/>
          <w:bCs/>
          <w:szCs w:val="21"/>
        </w:rPr>
        <w:t>65</w:t>
      </w:r>
      <w:r>
        <w:rPr>
          <w:rFonts w:hint="eastAsia"/>
          <w:b/>
          <w:szCs w:val="21"/>
        </w:rPr>
        <w:t xml:space="preserve"> </w:t>
      </w:r>
      <w:r>
        <w:rPr>
          <w:b/>
          <w:szCs w:val="21"/>
        </w:rPr>
        <w:t xml:space="preserve"> </w:t>
      </w:r>
      <w:r>
        <w:rPr>
          <w:rFonts w:hint="eastAsia" w:cs="宋体"/>
          <w:szCs w:val="21"/>
        </w:rPr>
        <w:t>《深圳市建筑废弃物再生产品应用工程技术规程》SJG 37</w:t>
      </w:r>
    </w:p>
    <w:p>
      <w:pPr>
        <w:spacing w:line="240" w:lineRule="auto"/>
        <w:ind w:firstLine="421" w:firstLineChars="200"/>
        <w:jc w:val="left"/>
        <w:rPr>
          <w:rFonts w:cs="宋体"/>
          <w:szCs w:val="21"/>
        </w:rPr>
      </w:pPr>
      <w:r>
        <w:rPr>
          <w:rFonts w:hint="eastAsia"/>
          <w:b/>
          <w:bCs/>
          <w:szCs w:val="21"/>
        </w:rPr>
        <w:t>66</w:t>
      </w:r>
      <w:r>
        <w:rPr>
          <w:rFonts w:hint="eastAsia"/>
          <w:b/>
          <w:szCs w:val="21"/>
        </w:rPr>
        <w:t xml:space="preserve"> </w:t>
      </w:r>
      <w:r>
        <w:rPr>
          <w:b/>
          <w:szCs w:val="21"/>
        </w:rPr>
        <w:t xml:space="preserve"> </w:t>
      </w:r>
      <w:r>
        <w:rPr>
          <w:rFonts w:hint="eastAsia" w:cs="宋体"/>
          <w:szCs w:val="21"/>
        </w:rPr>
        <w:t>《道路工程建筑废弃物再生产品应用技术规程》SJG 48</w:t>
      </w:r>
    </w:p>
    <w:p>
      <w:pPr>
        <w:spacing w:line="240" w:lineRule="auto"/>
        <w:ind w:firstLine="421" w:firstLineChars="200"/>
        <w:jc w:val="left"/>
        <w:rPr>
          <w:rFonts w:cs="宋体"/>
          <w:szCs w:val="21"/>
        </w:rPr>
      </w:pPr>
      <w:r>
        <w:rPr>
          <w:rFonts w:hint="eastAsia"/>
          <w:b/>
          <w:bCs/>
          <w:szCs w:val="21"/>
        </w:rPr>
        <w:t>67</w:t>
      </w:r>
      <w:r>
        <w:rPr>
          <w:rFonts w:hint="eastAsia"/>
          <w:b/>
          <w:szCs w:val="21"/>
        </w:rPr>
        <w:t xml:space="preserve">  </w:t>
      </w:r>
      <w:r>
        <w:rPr>
          <w:rFonts w:hint="eastAsia" w:cs="宋体"/>
          <w:szCs w:val="21"/>
        </w:rPr>
        <w:t>《建设工程建筑废弃物减排与综合利用技术标准》SJG 63</w:t>
      </w:r>
    </w:p>
    <w:p>
      <w:pPr>
        <w:spacing w:line="240" w:lineRule="auto"/>
        <w:ind w:firstLine="421" w:firstLineChars="200"/>
        <w:jc w:val="left"/>
        <w:rPr>
          <w:b/>
          <w:szCs w:val="21"/>
        </w:rPr>
      </w:pPr>
      <w:r>
        <w:rPr>
          <w:rFonts w:hint="eastAsia"/>
          <w:b/>
          <w:bCs/>
          <w:szCs w:val="21"/>
        </w:rPr>
        <w:t>68</w:t>
      </w:r>
      <w:r>
        <w:rPr>
          <w:rFonts w:hint="eastAsia"/>
          <w:b/>
          <w:szCs w:val="21"/>
        </w:rPr>
        <w:t xml:space="preserve">  </w:t>
      </w:r>
      <w:r>
        <w:rPr>
          <w:rFonts w:hint="eastAsia" w:cs="宋体"/>
          <w:szCs w:val="21"/>
        </w:rPr>
        <w:t>《海绵型道路建设技术标准》SJG 66</w:t>
      </w:r>
    </w:p>
    <w:p>
      <w:pPr>
        <w:spacing w:line="240" w:lineRule="auto"/>
        <w:ind w:firstLine="421" w:firstLineChars="200"/>
        <w:jc w:val="left"/>
        <w:rPr>
          <w:szCs w:val="21"/>
        </w:rPr>
      </w:pPr>
      <w:r>
        <w:rPr>
          <w:rFonts w:hint="eastAsia"/>
          <w:b/>
          <w:bCs/>
          <w:szCs w:val="21"/>
        </w:rPr>
        <w:t>69</w:t>
      </w:r>
      <w:r>
        <w:rPr>
          <w:rFonts w:hint="eastAsia"/>
          <w:b/>
          <w:szCs w:val="21"/>
        </w:rPr>
        <w:t xml:space="preserve"> </w:t>
      </w:r>
      <w:r>
        <w:rPr>
          <w:b/>
          <w:szCs w:val="21"/>
        </w:rPr>
        <w:t xml:space="preserve"> </w:t>
      </w:r>
      <w:r>
        <w:rPr>
          <w:rFonts w:hint="eastAsia" w:cs="宋体"/>
          <w:szCs w:val="21"/>
        </w:rPr>
        <w:t>《</w:t>
      </w:r>
      <w:bookmarkStart w:id="385" w:name="OLE_LINK27"/>
      <w:bookmarkStart w:id="386" w:name="OLE_LINK26"/>
      <w:r>
        <w:rPr>
          <w:rFonts w:hint="eastAsia" w:cs="宋体"/>
          <w:szCs w:val="21"/>
        </w:rPr>
        <w:t>城市道路设计标准</w:t>
      </w:r>
      <w:bookmarkEnd w:id="385"/>
      <w:bookmarkEnd w:id="386"/>
      <w:r>
        <w:rPr>
          <w:rFonts w:hint="eastAsia" w:cs="宋体"/>
          <w:szCs w:val="21"/>
        </w:rPr>
        <w:t>》SJG 69</w:t>
      </w:r>
    </w:p>
    <w:p>
      <w:pPr>
        <w:spacing w:line="240" w:lineRule="auto"/>
        <w:ind w:firstLine="421" w:firstLineChars="200"/>
        <w:jc w:val="left"/>
        <w:rPr>
          <w:rFonts w:cs="宋体"/>
          <w:szCs w:val="21"/>
        </w:rPr>
      </w:pPr>
      <w:r>
        <w:rPr>
          <w:rFonts w:hint="eastAsia"/>
          <w:b/>
          <w:bCs/>
          <w:szCs w:val="21"/>
        </w:rPr>
        <w:t>70</w:t>
      </w:r>
      <w:r>
        <w:rPr>
          <w:rFonts w:hint="eastAsia"/>
          <w:b/>
          <w:szCs w:val="21"/>
        </w:rPr>
        <w:t xml:space="preserve"> </w:t>
      </w:r>
      <w:r>
        <w:rPr>
          <w:b/>
          <w:szCs w:val="21"/>
        </w:rPr>
        <w:t xml:space="preserve"> </w:t>
      </w:r>
      <w:r>
        <w:rPr>
          <w:rFonts w:hint="eastAsia" w:cs="宋体"/>
          <w:szCs w:val="21"/>
        </w:rPr>
        <w:t>《人行天桥和连廊设计标准》SJG 70</w:t>
      </w:r>
    </w:p>
    <w:p>
      <w:pPr>
        <w:spacing w:line="240" w:lineRule="auto"/>
        <w:ind w:firstLine="421" w:firstLineChars="200"/>
        <w:jc w:val="left"/>
        <w:rPr>
          <w:rFonts w:cs="宋体"/>
          <w:szCs w:val="21"/>
        </w:rPr>
      </w:pPr>
      <w:r>
        <w:rPr>
          <w:rFonts w:hint="eastAsia"/>
          <w:b/>
          <w:bCs/>
          <w:szCs w:val="21"/>
        </w:rPr>
        <w:t>71</w:t>
      </w:r>
      <w:r>
        <w:rPr>
          <w:rFonts w:hint="eastAsia"/>
          <w:b/>
          <w:szCs w:val="21"/>
        </w:rPr>
        <w:t xml:space="preserve"> </w:t>
      </w:r>
      <w:r>
        <w:rPr>
          <w:b/>
          <w:szCs w:val="21"/>
        </w:rPr>
        <w:t xml:space="preserve"> </w:t>
      </w:r>
      <w:r>
        <w:rPr>
          <w:rFonts w:hint="eastAsia" w:cs="宋体"/>
          <w:szCs w:val="21"/>
        </w:rPr>
        <w:t>《桥梁工程设计标准》SJG 71</w:t>
      </w:r>
    </w:p>
    <w:p>
      <w:pPr>
        <w:spacing w:line="240" w:lineRule="auto"/>
        <w:ind w:firstLine="421" w:firstLineChars="200"/>
        <w:jc w:val="left"/>
        <w:rPr>
          <w:rFonts w:cs="宋体"/>
          <w:szCs w:val="21"/>
        </w:rPr>
      </w:pPr>
      <w:r>
        <w:rPr>
          <w:rFonts w:hint="eastAsia"/>
          <w:b/>
          <w:bCs/>
          <w:szCs w:val="21"/>
        </w:rPr>
        <w:t xml:space="preserve">72 </w:t>
      </w:r>
      <w:r>
        <w:rPr>
          <w:b/>
          <w:szCs w:val="21"/>
        </w:rPr>
        <w:t xml:space="preserve"> </w:t>
      </w:r>
      <w:r>
        <w:rPr>
          <w:rFonts w:hint="eastAsia" w:cs="宋体"/>
          <w:szCs w:val="21"/>
        </w:rPr>
        <w:t xml:space="preserve">《道路隧道设计标准》SJG 80 </w:t>
      </w:r>
    </w:p>
    <w:p>
      <w:pPr>
        <w:spacing w:line="240" w:lineRule="auto"/>
        <w:ind w:firstLine="421" w:firstLineChars="200"/>
        <w:jc w:val="left"/>
        <w:rPr>
          <w:rFonts w:cs="宋体"/>
          <w:szCs w:val="21"/>
        </w:rPr>
      </w:pPr>
      <w:r>
        <w:rPr>
          <w:rFonts w:hint="eastAsia"/>
          <w:b/>
          <w:bCs/>
          <w:szCs w:val="21"/>
        </w:rPr>
        <w:t>73</w:t>
      </w:r>
      <w:r>
        <w:rPr>
          <w:rFonts w:hint="eastAsia"/>
          <w:b/>
          <w:szCs w:val="21"/>
        </w:rPr>
        <w:t xml:space="preserve"> </w:t>
      </w:r>
      <w:r>
        <w:rPr>
          <w:b/>
          <w:szCs w:val="21"/>
        </w:rPr>
        <w:t xml:space="preserve"> </w:t>
      </w:r>
      <w:r>
        <w:rPr>
          <w:rFonts w:hint="eastAsia" w:cs="宋体"/>
          <w:szCs w:val="21"/>
        </w:rPr>
        <w:t>《自行车专用道设计标准》SJG 106</w:t>
      </w:r>
    </w:p>
    <w:p>
      <w:pPr>
        <w:spacing w:line="240" w:lineRule="auto"/>
        <w:ind w:firstLine="421" w:firstLineChars="200"/>
        <w:jc w:val="left"/>
        <w:rPr>
          <w:rFonts w:cs="宋体"/>
          <w:szCs w:val="21"/>
        </w:rPr>
      </w:pPr>
      <w:bookmarkStart w:id="387" w:name="OLE_LINK74"/>
      <w:bookmarkStart w:id="388" w:name="OLE_LINK75"/>
      <w:r>
        <w:rPr>
          <w:rFonts w:hint="eastAsia"/>
          <w:b/>
          <w:bCs/>
          <w:szCs w:val="21"/>
        </w:rPr>
        <w:t xml:space="preserve">74 </w:t>
      </w:r>
      <w:r>
        <w:rPr>
          <w:b/>
          <w:szCs w:val="21"/>
        </w:rPr>
        <w:t xml:space="preserve"> </w:t>
      </w:r>
      <w:bookmarkEnd w:id="387"/>
      <w:bookmarkEnd w:id="388"/>
      <w:r>
        <w:rPr>
          <w:rFonts w:hint="eastAsia" w:cs="宋体"/>
          <w:szCs w:val="21"/>
        </w:rPr>
        <w:t>《建筑废弃物综合利用设施建设运营标准》SJG 124</w:t>
      </w:r>
    </w:p>
    <w:p>
      <w:pPr>
        <w:spacing w:line="240" w:lineRule="auto"/>
        <w:ind w:firstLine="421" w:firstLineChars="200"/>
        <w:jc w:val="left"/>
        <w:rPr>
          <w:szCs w:val="21"/>
        </w:rPr>
      </w:pPr>
      <w:r>
        <w:rPr>
          <w:rFonts w:hint="eastAsia"/>
          <w:b/>
          <w:bCs/>
          <w:szCs w:val="21"/>
        </w:rPr>
        <w:t>75</w:t>
      </w:r>
      <w:r>
        <w:rPr>
          <w:rFonts w:hint="eastAsia"/>
          <w:b/>
          <w:szCs w:val="21"/>
        </w:rPr>
        <w:t xml:space="preserve"> </w:t>
      </w:r>
      <w:r>
        <w:rPr>
          <w:b/>
          <w:szCs w:val="21"/>
        </w:rPr>
        <w:t xml:space="preserve"> </w:t>
      </w:r>
      <w:r>
        <w:rPr>
          <w:rFonts w:hint="eastAsia" w:cs="宋体"/>
          <w:szCs w:val="21"/>
        </w:rPr>
        <w:t>《低噪声透水沥青路面技术规程》SJG 152</w:t>
      </w:r>
    </w:p>
    <w:p>
      <w:pPr>
        <w:spacing w:line="240" w:lineRule="auto"/>
        <w:ind w:firstLine="421" w:firstLineChars="200"/>
        <w:jc w:val="left"/>
        <w:rPr>
          <w:rFonts w:cs="宋体"/>
          <w:szCs w:val="21"/>
        </w:rPr>
      </w:pPr>
      <w:r>
        <w:rPr>
          <w:rFonts w:hint="eastAsia"/>
          <w:b/>
          <w:bCs/>
          <w:szCs w:val="21"/>
        </w:rPr>
        <w:t>76</w:t>
      </w:r>
      <w:r>
        <w:rPr>
          <w:rFonts w:hint="eastAsia"/>
          <w:b/>
          <w:szCs w:val="21"/>
        </w:rPr>
        <w:t xml:space="preserve"> </w:t>
      </w:r>
      <w:r>
        <w:rPr>
          <w:b/>
          <w:szCs w:val="21"/>
        </w:rPr>
        <w:t xml:space="preserve"> </w:t>
      </w:r>
      <w:r>
        <w:rPr>
          <w:rFonts w:hint="eastAsia" w:cs="宋体"/>
          <w:szCs w:val="21"/>
        </w:rPr>
        <w:t>《城市道路交通管理设施设置技术规程》SJG 166</w:t>
      </w:r>
    </w:p>
    <w:p>
      <w:pPr>
        <w:spacing w:line="240" w:lineRule="auto"/>
        <w:ind w:firstLine="421" w:firstLineChars="200"/>
        <w:jc w:val="left"/>
        <w:rPr>
          <w:rFonts w:cs="宋体"/>
          <w:szCs w:val="21"/>
        </w:rPr>
      </w:pPr>
      <w:r>
        <w:rPr>
          <w:rFonts w:hint="eastAsia"/>
          <w:b/>
          <w:bCs/>
          <w:szCs w:val="21"/>
        </w:rPr>
        <w:t>77</w:t>
      </w:r>
      <w:r>
        <w:rPr>
          <w:rFonts w:hint="eastAsia"/>
          <w:b/>
          <w:szCs w:val="21"/>
        </w:rPr>
        <w:t xml:space="preserve"> </w:t>
      </w:r>
      <w:r>
        <w:rPr>
          <w:b/>
          <w:szCs w:val="21"/>
        </w:rPr>
        <w:t xml:space="preserve"> </w:t>
      </w:r>
      <w:r>
        <w:rPr>
          <w:rFonts w:hint="eastAsia" w:cs="宋体"/>
          <w:szCs w:val="21"/>
        </w:rPr>
        <w:t>《土石方与地基基础工程消耗量标准》SJG 170</w:t>
      </w:r>
    </w:p>
    <w:p>
      <w:pPr>
        <w:spacing w:line="240" w:lineRule="auto"/>
        <w:ind w:firstLine="421" w:firstLineChars="200"/>
        <w:jc w:val="left"/>
        <w:rPr>
          <w:b/>
          <w:szCs w:val="21"/>
        </w:rPr>
      </w:pPr>
      <w:r>
        <w:rPr>
          <w:rFonts w:hint="eastAsia"/>
          <w:b/>
          <w:bCs/>
          <w:szCs w:val="21"/>
        </w:rPr>
        <w:t>78</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第一册 道路工程</w:t>
      </w:r>
      <w:r>
        <w:rPr>
          <w:rFonts w:cs="宋体"/>
          <w:szCs w:val="21"/>
        </w:rPr>
        <w:t>》</w:t>
      </w:r>
      <w:r>
        <w:rPr>
          <w:rFonts w:hint="eastAsia" w:cs="宋体"/>
          <w:szCs w:val="21"/>
        </w:rPr>
        <w:t>SJG 181.1</w:t>
      </w:r>
    </w:p>
    <w:p>
      <w:pPr>
        <w:spacing w:line="240" w:lineRule="auto"/>
        <w:ind w:firstLine="421" w:firstLineChars="200"/>
        <w:jc w:val="left"/>
        <w:rPr>
          <w:b/>
          <w:szCs w:val="21"/>
        </w:rPr>
      </w:pPr>
      <w:r>
        <w:rPr>
          <w:rFonts w:hint="eastAsia"/>
          <w:b/>
          <w:bCs/>
          <w:szCs w:val="21"/>
        </w:rPr>
        <w:t>79</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第二册 桥涵工程</w:t>
      </w:r>
      <w:r>
        <w:rPr>
          <w:rFonts w:cs="宋体"/>
          <w:szCs w:val="21"/>
        </w:rPr>
        <w:t>》</w:t>
      </w:r>
      <w:r>
        <w:rPr>
          <w:rFonts w:hint="eastAsia" w:cs="宋体"/>
          <w:szCs w:val="21"/>
        </w:rPr>
        <w:t>SJG 181.2</w:t>
      </w:r>
    </w:p>
    <w:p>
      <w:pPr>
        <w:spacing w:line="240" w:lineRule="auto"/>
        <w:ind w:firstLine="421" w:firstLineChars="200"/>
        <w:jc w:val="left"/>
        <w:rPr>
          <w:b/>
          <w:szCs w:val="21"/>
        </w:rPr>
      </w:pPr>
      <w:r>
        <w:rPr>
          <w:rFonts w:hint="eastAsia"/>
          <w:b/>
          <w:bCs/>
          <w:szCs w:val="21"/>
        </w:rPr>
        <w:t>80</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第三册 隧道工程</w:t>
      </w:r>
      <w:r>
        <w:rPr>
          <w:rFonts w:cs="宋体"/>
          <w:szCs w:val="21"/>
        </w:rPr>
        <w:t>》</w:t>
      </w:r>
      <w:r>
        <w:rPr>
          <w:rFonts w:hint="eastAsia" w:cs="宋体"/>
          <w:szCs w:val="21"/>
        </w:rPr>
        <w:t>SJG 181.3</w:t>
      </w:r>
    </w:p>
    <w:p>
      <w:pPr>
        <w:spacing w:line="240" w:lineRule="auto"/>
        <w:ind w:firstLine="421" w:firstLineChars="200"/>
        <w:jc w:val="left"/>
        <w:rPr>
          <w:b/>
          <w:szCs w:val="21"/>
        </w:rPr>
      </w:pPr>
      <w:r>
        <w:rPr>
          <w:rFonts w:hint="eastAsia"/>
          <w:b/>
          <w:bCs/>
          <w:szCs w:val="21"/>
        </w:rPr>
        <w:t>81</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第四册 给水排水管网工程</w:t>
      </w:r>
      <w:r>
        <w:rPr>
          <w:rFonts w:cs="宋体"/>
          <w:szCs w:val="21"/>
        </w:rPr>
        <w:t>》</w:t>
      </w:r>
      <w:r>
        <w:rPr>
          <w:rFonts w:hint="eastAsia" w:cs="宋体"/>
          <w:szCs w:val="21"/>
        </w:rPr>
        <w:t>SJG 181.4</w:t>
      </w:r>
    </w:p>
    <w:p>
      <w:pPr>
        <w:spacing w:line="240" w:lineRule="auto"/>
        <w:ind w:firstLine="421" w:firstLineChars="200"/>
        <w:jc w:val="left"/>
        <w:rPr>
          <w:b/>
          <w:szCs w:val="21"/>
        </w:rPr>
      </w:pPr>
      <w:r>
        <w:rPr>
          <w:rFonts w:hint="eastAsia"/>
          <w:b/>
          <w:bCs/>
          <w:szCs w:val="21"/>
        </w:rPr>
        <w:t>82</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第七册 电力通道、通信管网及照明工程</w:t>
      </w:r>
      <w:r>
        <w:rPr>
          <w:rFonts w:cs="宋体"/>
          <w:szCs w:val="21"/>
        </w:rPr>
        <w:t>》</w:t>
      </w:r>
      <w:r>
        <w:rPr>
          <w:rFonts w:hint="eastAsia" w:cs="宋体"/>
          <w:szCs w:val="21"/>
        </w:rPr>
        <w:t>SJG 181.7</w:t>
      </w:r>
    </w:p>
    <w:p>
      <w:pPr>
        <w:spacing w:line="240" w:lineRule="auto"/>
        <w:ind w:firstLine="421" w:firstLineChars="200"/>
        <w:jc w:val="left"/>
        <w:rPr>
          <w:b/>
          <w:szCs w:val="21"/>
        </w:rPr>
      </w:pPr>
      <w:r>
        <w:rPr>
          <w:rFonts w:hint="eastAsia"/>
          <w:b/>
          <w:bCs/>
          <w:szCs w:val="21"/>
        </w:rPr>
        <w:t>83</w:t>
      </w:r>
      <w:r>
        <w:rPr>
          <w:rFonts w:hint="eastAsia"/>
          <w:b/>
          <w:szCs w:val="21"/>
        </w:rPr>
        <w:t xml:space="preserve"> </w:t>
      </w:r>
      <w:r>
        <w:rPr>
          <w:b/>
          <w:szCs w:val="21"/>
        </w:rPr>
        <w:t xml:space="preserve"> </w:t>
      </w:r>
      <w:r>
        <w:rPr>
          <w:rFonts w:cs="宋体"/>
          <w:szCs w:val="21"/>
        </w:rPr>
        <w:t>《市政工程消耗量标准</w:t>
      </w:r>
      <w:r>
        <w:rPr>
          <w:rFonts w:hint="eastAsia" w:cs="宋体"/>
          <w:szCs w:val="21"/>
        </w:rPr>
        <w:t xml:space="preserve"> 第八册 交通工程</w:t>
      </w:r>
      <w:r>
        <w:rPr>
          <w:rFonts w:cs="宋体"/>
          <w:szCs w:val="21"/>
        </w:rPr>
        <w:t>》</w:t>
      </w:r>
      <w:r>
        <w:rPr>
          <w:rFonts w:hint="eastAsia" w:cs="宋体"/>
          <w:szCs w:val="21"/>
        </w:rPr>
        <w:t>SJG 181.8</w:t>
      </w:r>
    </w:p>
    <w:p>
      <w:pPr>
        <w:spacing w:line="240" w:lineRule="auto"/>
        <w:ind w:firstLine="421" w:firstLineChars="200"/>
        <w:jc w:val="left"/>
        <w:rPr>
          <w:rFonts w:cs="宋体"/>
          <w:szCs w:val="21"/>
        </w:rPr>
      </w:pPr>
      <w:r>
        <w:rPr>
          <w:rFonts w:hint="eastAsia"/>
          <w:b/>
          <w:bCs/>
          <w:szCs w:val="21"/>
        </w:rPr>
        <w:t>84</w:t>
      </w:r>
      <w:r>
        <w:rPr>
          <w:rFonts w:hint="eastAsia"/>
          <w:b/>
          <w:szCs w:val="21"/>
        </w:rPr>
        <w:t xml:space="preserve"> </w:t>
      </w:r>
      <w:r>
        <w:rPr>
          <w:b/>
          <w:szCs w:val="21"/>
        </w:rPr>
        <w:t xml:space="preserve"> </w:t>
      </w:r>
      <w:r>
        <w:rPr>
          <w:rFonts w:hint="eastAsia" w:cs="宋体"/>
          <w:szCs w:val="21"/>
        </w:rPr>
        <w:t>《二氧化碳排放核算和报告要求 道路运输业》DB11/T 1786</w:t>
      </w:r>
    </w:p>
    <w:p>
      <w:pPr>
        <w:spacing w:line="240" w:lineRule="auto"/>
        <w:ind w:firstLine="421" w:firstLineChars="200"/>
        <w:jc w:val="left"/>
        <w:rPr>
          <w:rFonts w:cs="宋体"/>
          <w:szCs w:val="21"/>
        </w:rPr>
      </w:pPr>
      <w:r>
        <w:rPr>
          <w:rFonts w:hint="eastAsia"/>
          <w:b/>
          <w:bCs/>
          <w:szCs w:val="21"/>
        </w:rPr>
        <w:t>85</w:t>
      </w:r>
      <w:r>
        <w:rPr>
          <w:rFonts w:hint="eastAsia"/>
          <w:b/>
          <w:szCs w:val="21"/>
        </w:rPr>
        <w:t xml:space="preserve"> </w:t>
      </w:r>
      <w:r>
        <w:rPr>
          <w:b/>
          <w:szCs w:val="21"/>
        </w:rPr>
        <w:t xml:space="preserve"> </w:t>
      </w:r>
      <w:r>
        <w:rPr>
          <w:rFonts w:hint="eastAsia" w:cs="宋体"/>
          <w:szCs w:val="21"/>
        </w:rPr>
        <w:t>《绿色公路建设技术指南》DB14/T 2315</w:t>
      </w:r>
    </w:p>
    <w:p>
      <w:pPr>
        <w:spacing w:line="240" w:lineRule="auto"/>
        <w:ind w:firstLine="421" w:firstLineChars="200"/>
        <w:jc w:val="left"/>
        <w:rPr>
          <w:rFonts w:cs="宋体"/>
          <w:szCs w:val="21"/>
        </w:rPr>
      </w:pPr>
      <w:r>
        <w:rPr>
          <w:rFonts w:hint="eastAsia"/>
          <w:b/>
          <w:bCs/>
          <w:szCs w:val="21"/>
        </w:rPr>
        <w:t>86</w:t>
      </w:r>
      <w:r>
        <w:rPr>
          <w:rFonts w:hint="eastAsia"/>
          <w:b/>
          <w:szCs w:val="21"/>
        </w:rPr>
        <w:t xml:space="preserve"> </w:t>
      </w:r>
      <w:r>
        <w:rPr>
          <w:b/>
          <w:szCs w:val="21"/>
        </w:rPr>
        <w:t xml:space="preserve"> </w:t>
      </w:r>
      <w:r>
        <w:rPr>
          <w:rFonts w:hint="eastAsia" w:cs="宋体"/>
          <w:szCs w:val="21"/>
        </w:rPr>
        <w:t>《公路基础设施建设碳排放核算规程》DB15/T 2882</w:t>
      </w:r>
    </w:p>
    <w:p>
      <w:pPr>
        <w:spacing w:line="240" w:lineRule="auto"/>
        <w:ind w:firstLine="421" w:firstLineChars="200"/>
        <w:jc w:val="left"/>
        <w:rPr>
          <w:rFonts w:cs="宋体"/>
          <w:szCs w:val="21"/>
        </w:rPr>
      </w:pPr>
      <w:r>
        <w:rPr>
          <w:rFonts w:hint="eastAsia"/>
          <w:b/>
          <w:bCs/>
          <w:szCs w:val="21"/>
        </w:rPr>
        <w:t>87</w:t>
      </w:r>
      <w:r>
        <w:rPr>
          <w:rFonts w:hint="eastAsia"/>
          <w:b/>
          <w:szCs w:val="21"/>
        </w:rPr>
        <w:t xml:space="preserve"> </w:t>
      </w:r>
      <w:r>
        <w:rPr>
          <w:b/>
          <w:szCs w:val="21"/>
        </w:rPr>
        <w:t xml:space="preserve"> </w:t>
      </w:r>
      <w:r>
        <w:rPr>
          <w:rFonts w:hint="eastAsia" w:cs="宋体"/>
          <w:szCs w:val="21"/>
        </w:rPr>
        <w:t>《绿色公路建设指南-高速公路 第3册 绿色公路评价标准》DB36/T 535.3</w:t>
      </w:r>
    </w:p>
    <w:p>
      <w:pPr>
        <w:spacing w:line="240" w:lineRule="auto"/>
        <w:ind w:firstLine="421" w:firstLineChars="200"/>
        <w:jc w:val="left"/>
        <w:rPr>
          <w:rFonts w:cs="宋体"/>
          <w:szCs w:val="21"/>
        </w:rPr>
      </w:pPr>
      <w:r>
        <w:rPr>
          <w:rFonts w:hint="eastAsia"/>
          <w:b/>
          <w:bCs/>
          <w:szCs w:val="21"/>
        </w:rPr>
        <w:t>88</w:t>
      </w:r>
      <w:r>
        <w:rPr>
          <w:rFonts w:hint="eastAsia"/>
          <w:b/>
          <w:szCs w:val="21"/>
        </w:rPr>
        <w:t xml:space="preserve"> </w:t>
      </w:r>
      <w:r>
        <w:rPr>
          <w:b/>
          <w:szCs w:val="21"/>
        </w:rPr>
        <w:t xml:space="preserve"> </w:t>
      </w:r>
      <w:r>
        <w:rPr>
          <w:rFonts w:hint="eastAsia" w:cs="宋体"/>
          <w:szCs w:val="21"/>
        </w:rPr>
        <w:t>《景观林树种选择技术规程》DB44/T 1912</w:t>
      </w:r>
    </w:p>
    <w:p>
      <w:pPr>
        <w:spacing w:line="240" w:lineRule="auto"/>
        <w:ind w:firstLine="421" w:firstLineChars="200"/>
        <w:jc w:val="left"/>
        <w:rPr>
          <w:rFonts w:cs="宋体"/>
          <w:szCs w:val="21"/>
        </w:rPr>
      </w:pPr>
      <w:r>
        <w:rPr>
          <w:rFonts w:hint="eastAsia"/>
          <w:b/>
          <w:bCs/>
          <w:szCs w:val="21"/>
        </w:rPr>
        <w:t>89</w:t>
      </w:r>
      <w:r>
        <w:rPr>
          <w:rFonts w:hint="eastAsia"/>
          <w:b/>
          <w:szCs w:val="21"/>
        </w:rPr>
        <w:t xml:space="preserve"> </w:t>
      </w:r>
      <w:r>
        <w:rPr>
          <w:b/>
          <w:szCs w:val="21"/>
        </w:rPr>
        <w:t xml:space="preserve"> </w:t>
      </w:r>
      <w:r>
        <w:rPr>
          <w:rFonts w:hint="eastAsia" w:cs="宋体"/>
          <w:szCs w:val="21"/>
        </w:rPr>
        <w:t>《绿化迁移技术规范》DB4403/T 81</w:t>
      </w:r>
    </w:p>
    <w:p>
      <w:pPr>
        <w:spacing w:line="240" w:lineRule="auto"/>
        <w:ind w:firstLine="421" w:firstLineChars="200"/>
        <w:rPr>
          <w:rFonts w:cs="宋体"/>
          <w:szCs w:val="21"/>
        </w:rPr>
      </w:pPr>
      <w:r>
        <w:rPr>
          <w:rFonts w:hint="eastAsia"/>
          <w:b/>
          <w:bCs/>
          <w:szCs w:val="21"/>
        </w:rPr>
        <w:t>90</w:t>
      </w:r>
      <w:r>
        <w:rPr>
          <w:rFonts w:hint="eastAsia"/>
          <w:b/>
          <w:szCs w:val="21"/>
        </w:rPr>
        <w:t xml:space="preserve"> </w:t>
      </w:r>
      <w:r>
        <w:rPr>
          <w:b/>
          <w:szCs w:val="21"/>
        </w:rPr>
        <w:t xml:space="preserve"> </w:t>
      </w:r>
      <w:r>
        <w:rPr>
          <w:rFonts w:hint="eastAsia" w:cs="宋体"/>
          <w:szCs w:val="21"/>
        </w:rPr>
        <w:t>《深圳市公交中途站设置规范》</w:t>
      </w:r>
      <w:r>
        <w:rPr>
          <w:rFonts w:cs="宋体"/>
          <w:szCs w:val="21"/>
        </w:rPr>
        <w:t>DB4403/T</w:t>
      </w:r>
      <w:r>
        <w:rPr>
          <w:rFonts w:hint="eastAsia" w:cs="宋体"/>
          <w:szCs w:val="21"/>
        </w:rPr>
        <w:t xml:space="preserve"> </w:t>
      </w:r>
      <w:r>
        <w:rPr>
          <w:rFonts w:cs="宋体"/>
          <w:szCs w:val="21"/>
        </w:rPr>
        <w:t>161</w:t>
      </w:r>
    </w:p>
    <w:p>
      <w:pPr>
        <w:spacing w:line="240" w:lineRule="auto"/>
        <w:ind w:firstLine="421" w:firstLineChars="200"/>
        <w:jc w:val="left"/>
        <w:rPr>
          <w:rFonts w:cs="宋体"/>
          <w:szCs w:val="21"/>
        </w:rPr>
      </w:pPr>
      <w:r>
        <w:rPr>
          <w:rFonts w:hint="eastAsia"/>
          <w:b/>
          <w:bCs/>
          <w:szCs w:val="21"/>
        </w:rPr>
        <w:t>91</w:t>
      </w:r>
      <w:r>
        <w:rPr>
          <w:rFonts w:hint="eastAsia"/>
          <w:b/>
          <w:szCs w:val="21"/>
        </w:rPr>
        <w:t xml:space="preserve"> </w:t>
      </w:r>
      <w:r>
        <w:rPr>
          <w:b/>
          <w:szCs w:val="21"/>
        </w:rPr>
        <w:t xml:space="preserve"> </w:t>
      </w:r>
      <w:r>
        <w:rPr>
          <w:rFonts w:hint="eastAsia" w:cs="宋体"/>
          <w:szCs w:val="21"/>
        </w:rPr>
        <w:t>《广东省公共建筑节能设计标准》DBJ 15-51</w:t>
      </w:r>
    </w:p>
    <w:p>
      <w:pPr>
        <w:spacing w:line="240" w:lineRule="auto"/>
        <w:ind w:firstLine="421" w:firstLineChars="200"/>
        <w:jc w:val="left"/>
        <w:rPr>
          <w:b/>
          <w:szCs w:val="21"/>
        </w:rPr>
      </w:pPr>
      <w:r>
        <w:rPr>
          <w:rFonts w:hint="eastAsia"/>
          <w:b/>
          <w:bCs/>
          <w:szCs w:val="21"/>
        </w:rPr>
        <w:t>92</w:t>
      </w:r>
      <w:r>
        <w:rPr>
          <w:rFonts w:hint="eastAsia"/>
          <w:b/>
          <w:szCs w:val="21"/>
        </w:rPr>
        <w:t xml:space="preserve"> </w:t>
      </w:r>
      <w:r>
        <w:rPr>
          <w:rFonts w:cs="宋体"/>
          <w:szCs w:val="21"/>
        </w:rPr>
        <w:t xml:space="preserve"> </w:t>
      </w:r>
      <w:bookmarkStart w:id="389" w:name="OLE_LINK107"/>
      <w:r>
        <w:rPr>
          <w:rFonts w:hint="eastAsia" w:cs="宋体"/>
          <w:szCs w:val="21"/>
        </w:rPr>
        <w:t>《组织的温室气体排放量化和报告指南》SZDB/Z 69</w:t>
      </w:r>
      <w:bookmarkEnd w:id="389"/>
    </w:p>
    <w:p>
      <w:pPr>
        <w:spacing w:line="240" w:lineRule="auto"/>
        <w:ind w:firstLine="421" w:firstLineChars="200"/>
        <w:jc w:val="left"/>
        <w:rPr>
          <w:rFonts w:cs="宋体"/>
          <w:szCs w:val="21"/>
        </w:rPr>
      </w:pPr>
      <w:r>
        <w:rPr>
          <w:rFonts w:hint="eastAsia"/>
          <w:b/>
          <w:bCs/>
          <w:szCs w:val="21"/>
        </w:rPr>
        <w:t>93</w:t>
      </w:r>
      <w:r>
        <w:rPr>
          <w:rFonts w:hint="eastAsia"/>
          <w:b/>
          <w:szCs w:val="21"/>
        </w:rPr>
        <w:t xml:space="preserve">  </w:t>
      </w:r>
      <w:r>
        <w:rPr>
          <w:rFonts w:hint="eastAsia" w:cs="宋体"/>
          <w:szCs w:val="21"/>
        </w:rPr>
        <w:t>《低影响开发雨水综合利用技术规范》SZDB/Z 145</w:t>
      </w:r>
    </w:p>
    <w:p>
      <w:pPr>
        <w:spacing w:line="240" w:lineRule="auto"/>
        <w:ind w:firstLine="421" w:firstLineChars="200"/>
        <w:jc w:val="left"/>
        <w:rPr>
          <w:rFonts w:cs="宋体"/>
          <w:szCs w:val="21"/>
        </w:rPr>
      </w:pPr>
      <w:r>
        <w:rPr>
          <w:rFonts w:hint="eastAsia"/>
          <w:b/>
          <w:bCs/>
          <w:szCs w:val="21"/>
        </w:rPr>
        <w:t>94</w:t>
      </w:r>
      <w:r>
        <w:rPr>
          <w:rFonts w:hint="eastAsia"/>
          <w:b/>
          <w:szCs w:val="21"/>
        </w:rPr>
        <w:t xml:space="preserve"> </w:t>
      </w:r>
      <w:r>
        <w:rPr>
          <w:b/>
          <w:szCs w:val="21"/>
        </w:rPr>
        <w:t xml:space="preserve"> </w:t>
      </w:r>
      <w:r>
        <w:rPr>
          <w:rFonts w:hint="eastAsia" w:cs="宋体"/>
          <w:szCs w:val="21"/>
        </w:rPr>
        <w:t>《分布式光伏发电系统并网接入技术规范》SZDB/Z 227</w:t>
      </w:r>
    </w:p>
    <w:p>
      <w:pPr>
        <w:spacing w:line="240" w:lineRule="auto"/>
        <w:ind w:firstLine="421" w:firstLineChars="200"/>
        <w:jc w:val="left"/>
        <w:rPr>
          <w:rFonts w:cs="宋体"/>
          <w:szCs w:val="21"/>
        </w:rPr>
      </w:pPr>
      <w:r>
        <w:rPr>
          <w:rFonts w:hint="eastAsia"/>
          <w:b/>
          <w:bCs/>
          <w:szCs w:val="21"/>
        </w:rPr>
        <w:t>95</w:t>
      </w:r>
      <w:r>
        <w:rPr>
          <w:rFonts w:hint="eastAsia"/>
          <w:b/>
          <w:szCs w:val="21"/>
        </w:rPr>
        <w:t xml:space="preserve"> </w:t>
      </w:r>
      <w:r>
        <w:rPr>
          <w:b/>
          <w:szCs w:val="21"/>
        </w:rPr>
        <w:t xml:space="preserve"> </w:t>
      </w:r>
      <w:r>
        <w:rPr>
          <w:rFonts w:hint="eastAsia" w:cs="宋体"/>
          <w:szCs w:val="21"/>
        </w:rPr>
        <w:t>《</w:t>
      </w:r>
      <w:bookmarkStart w:id="390" w:name="OLE_LINK108"/>
      <w:r>
        <w:rPr>
          <w:rFonts w:hint="eastAsia" w:cs="宋体"/>
          <w:szCs w:val="21"/>
        </w:rPr>
        <w:t>城市绿地树种规划设计规范</w:t>
      </w:r>
      <w:bookmarkEnd w:id="390"/>
      <w:r>
        <w:rPr>
          <w:rFonts w:hint="eastAsia" w:cs="宋体"/>
          <w:szCs w:val="21"/>
        </w:rPr>
        <w:t>》SZDB/Z 298</w:t>
      </w:r>
    </w:p>
    <w:p>
      <w:pPr>
        <w:spacing w:line="240" w:lineRule="auto"/>
        <w:ind w:firstLine="421" w:firstLineChars="200"/>
        <w:jc w:val="left"/>
        <w:rPr>
          <w:rFonts w:cs="宋体"/>
          <w:szCs w:val="21"/>
        </w:rPr>
      </w:pPr>
      <w:r>
        <w:rPr>
          <w:rFonts w:hint="eastAsia"/>
          <w:b/>
          <w:bCs/>
          <w:szCs w:val="21"/>
        </w:rPr>
        <w:t>96</w:t>
      </w:r>
      <w:r>
        <w:rPr>
          <w:rFonts w:hint="eastAsia"/>
          <w:b/>
          <w:szCs w:val="21"/>
        </w:rPr>
        <w:t xml:space="preserve"> </w:t>
      </w:r>
      <w:r>
        <w:rPr>
          <w:b/>
          <w:szCs w:val="21"/>
        </w:rPr>
        <w:t xml:space="preserve"> </w:t>
      </w:r>
      <w:r>
        <w:rPr>
          <w:rFonts w:hint="eastAsia" w:cs="宋体"/>
          <w:szCs w:val="21"/>
        </w:rPr>
        <w:t>《桥梁工程超高性能混凝土应用技术标准》DG/TJ 08-2401</w:t>
      </w:r>
    </w:p>
    <w:p>
      <w:pPr>
        <w:spacing w:line="240" w:lineRule="auto"/>
        <w:ind w:firstLine="421" w:firstLineChars="200"/>
        <w:jc w:val="left"/>
        <w:rPr>
          <w:rFonts w:cs="宋体"/>
          <w:szCs w:val="21"/>
        </w:rPr>
      </w:pPr>
      <w:r>
        <w:rPr>
          <w:rFonts w:hint="eastAsia"/>
          <w:b/>
          <w:bCs/>
          <w:szCs w:val="21"/>
        </w:rPr>
        <w:t>97</w:t>
      </w:r>
      <w:r>
        <w:rPr>
          <w:rFonts w:hint="eastAsia"/>
          <w:b/>
          <w:szCs w:val="21"/>
        </w:rPr>
        <w:t xml:space="preserve"> </w:t>
      </w:r>
      <w:r>
        <w:rPr>
          <w:b/>
          <w:szCs w:val="21"/>
        </w:rPr>
        <w:t xml:space="preserve"> </w:t>
      </w:r>
      <w:r>
        <w:rPr>
          <w:rFonts w:hint="eastAsia" w:cs="宋体"/>
          <w:szCs w:val="21"/>
        </w:rPr>
        <w:t>《深圳市建筑装饰碳排放计算标准》T/SZZS 01 001</w:t>
      </w:r>
    </w:p>
    <w:p>
      <w:pPr>
        <w:spacing w:line="240" w:lineRule="auto"/>
        <w:ind w:firstLine="421" w:firstLineChars="200"/>
        <w:jc w:val="left"/>
        <w:rPr>
          <w:rFonts w:cs="宋体"/>
          <w:szCs w:val="21"/>
        </w:rPr>
      </w:pPr>
      <w:r>
        <w:rPr>
          <w:rFonts w:hint="eastAsia"/>
          <w:b/>
          <w:bCs/>
          <w:szCs w:val="21"/>
        </w:rPr>
        <w:t>98</w:t>
      </w:r>
      <w:r>
        <w:rPr>
          <w:rFonts w:hint="eastAsia"/>
          <w:b/>
          <w:szCs w:val="21"/>
        </w:rPr>
        <w:t xml:space="preserve"> </w:t>
      </w:r>
      <w:r>
        <w:rPr>
          <w:b/>
          <w:szCs w:val="21"/>
        </w:rPr>
        <w:t xml:space="preserve"> </w:t>
      </w:r>
      <w:bookmarkStart w:id="391" w:name="OLE_LINK101"/>
      <w:bookmarkStart w:id="392" w:name="OLE_LINK100"/>
      <w:r>
        <w:rPr>
          <w:rFonts w:hint="eastAsia" w:cs="宋体"/>
          <w:szCs w:val="21"/>
        </w:rPr>
        <w:t>《组织层面上对温室气体排放和清除的量化和报告的规范及指南》</w:t>
      </w:r>
      <w:bookmarkStart w:id="393" w:name="OLE_LINK102"/>
      <w:r>
        <w:rPr>
          <w:rFonts w:hint="eastAsia" w:cs="宋体"/>
          <w:szCs w:val="21"/>
        </w:rPr>
        <w:t>ISO 14064-1</w:t>
      </w:r>
    </w:p>
    <w:bookmarkEnd w:id="391"/>
    <w:bookmarkEnd w:id="392"/>
    <w:bookmarkEnd w:id="393"/>
    <w:p>
      <w:pPr>
        <w:spacing w:line="240" w:lineRule="auto"/>
        <w:ind w:firstLine="421" w:firstLineChars="200"/>
        <w:jc w:val="left"/>
        <w:rPr>
          <w:rFonts w:cs="宋体"/>
          <w:szCs w:val="21"/>
        </w:rPr>
      </w:pPr>
      <w:r>
        <w:rPr>
          <w:rFonts w:hint="eastAsia"/>
          <w:b/>
          <w:bCs/>
          <w:szCs w:val="21"/>
        </w:rPr>
        <w:t>99</w:t>
      </w:r>
      <w:r>
        <w:rPr>
          <w:rFonts w:hint="eastAsia"/>
          <w:b/>
          <w:szCs w:val="21"/>
        </w:rPr>
        <w:t xml:space="preserve"> </w:t>
      </w:r>
      <w:r>
        <w:rPr>
          <w:b/>
          <w:szCs w:val="21"/>
        </w:rPr>
        <w:t xml:space="preserve"> </w:t>
      </w:r>
      <w:r>
        <w:rPr>
          <w:rFonts w:hint="eastAsia" w:cs="宋体"/>
          <w:szCs w:val="21"/>
        </w:rPr>
        <w:t>《项目层面上对温室气体减排和清除增加的量化、监测和报告的规范及指南》ISO 14064-2</w:t>
      </w:r>
    </w:p>
    <w:p>
      <w:pPr>
        <w:spacing w:line="240" w:lineRule="auto"/>
        <w:ind w:firstLine="421" w:firstLineChars="200"/>
        <w:jc w:val="left"/>
        <w:rPr>
          <w:rFonts w:cs="宋体"/>
          <w:szCs w:val="21"/>
        </w:rPr>
      </w:pPr>
      <w:r>
        <w:rPr>
          <w:rFonts w:hint="eastAsia"/>
          <w:b/>
          <w:bCs/>
          <w:szCs w:val="21"/>
        </w:rPr>
        <w:t>100</w:t>
      </w:r>
      <w:r>
        <w:rPr>
          <w:rFonts w:hint="eastAsia"/>
          <w:b/>
          <w:szCs w:val="21"/>
        </w:rPr>
        <w:t xml:space="preserve"> </w:t>
      </w:r>
      <w:r>
        <w:rPr>
          <w:b/>
          <w:szCs w:val="21"/>
        </w:rPr>
        <w:t xml:space="preserve"> </w:t>
      </w:r>
      <w:r>
        <w:rPr>
          <w:rFonts w:hint="eastAsia" w:cs="宋体"/>
          <w:szCs w:val="21"/>
        </w:rPr>
        <w:t>《温室气体声明的核查和验证的规范与指南》ISO 14064-3</w:t>
      </w:r>
    </w:p>
    <w:p>
      <w:pPr>
        <w:spacing w:line="240" w:lineRule="auto"/>
        <w:ind w:firstLine="421" w:firstLineChars="200"/>
        <w:jc w:val="left"/>
        <w:rPr>
          <w:rFonts w:cs="宋体"/>
          <w:szCs w:val="21"/>
        </w:rPr>
      </w:pPr>
      <w:r>
        <w:rPr>
          <w:rFonts w:hint="eastAsia"/>
          <w:b/>
          <w:bCs/>
          <w:szCs w:val="21"/>
        </w:rPr>
        <w:t>101</w:t>
      </w:r>
      <w:r>
        <w:rPr>
          <w:rFonts w:hint="eastAsia"/>
          <w:b/>
          <w:szCs w:val="21"/>
        </w:rPr>
        <w:t xml:space="preserve"> </w:t>
      </w:r>
      <w:r>
        <w:rPr>
          <w:b/>
          <w:szCs w:val="21"/>
        </w:rPr>
        <w:t xml:space="preserve"> </w:t>
      </w:r>
      <w:r>
        <w:rPr>
          <w:rFonts w:hint="eastAsia" w:cs="宋体"/>
          <w:szCs w:val="21"/>
        </w:rPr>
        <w:t>《温室气体-产品碳足迹-量化要求和指南》ISO 14067</w:t>
      </w:r>
    </w:p>
    <w:p>
      <w:pPr>
        <w:spacing w:line="240" w:lineRule="auto"/>
        <w:ind w:firstLine="421" w:firstLineChars="200"/>
        <w:jc w:val="left"/>
        <w:rPr>
          <w:rFonts w:cs="宋体"/>
          <w:szCs w:val="21"/>
        </w:rPr>
      </w:pPr>
      <w:r>
        <w:rPr>
          <w:rFonts w:hint="eastAsia"/>
          <w:b/>
          <w:bCs/>
          <w:szCs w:val="21"/>
        </w:rPr>
        <w:t>102</w:t>
      </w:r>
      <w:r>
        <w:rPr>
          <w:rFonts w:hint="eastAsia"/>
          <w:b/>
          <w:szCs w:val="21"/>
        </w:rPr>
        <w:t xml:space="preserve"> </w:t>
      </w:r>
      <w:r>
        <w:rPr>
          <w:b/>
          <w:szCs w:val="21"/>
        </w:rPr>
        <w:t xml:space="preserve"> </w:t>
      </w:r>
      <w:r>
        <w:rPr>
          <w:rFonts w:hint="eastAsia" w:cs="宋体"/>
          <w:szCs w:val="21"/>
        </w:rPr>
        <w:t>《公路工程建设期碳排放测算标准》Q/CCCG 105</w:t>
      </w:r>
    </w:p>
    <w:p>
      <w:pPr>
        <w:spacing w:line="240" w:lineRule="auto"/>
        <w:ind w:firstLine="421" w:firstLineChars="200"/>
        <w:jc w:val="left"/>
        <w:rPr>
          <w:rFonts w:cs="宋体"/>
          <w:szCs w:val="21"/>
        </w:rPr>
      </w:pPr>
      <w:r>
        <w:rPr>
          <w:rFonts w:hint="eastAsia"/>
          <w:b/>
          <w:bCs/>
          <w:szCs w:val="21"/>
        </w:rPr>
        <w:t>103</w:t>
      </w:r>
      <w:r>
        <w:rPr>
          <w:rFonts w:hint="eastAsia"/>
          <w:b/>
          <w:szCs w:val="21"/>
        </w:rPr>
        <w:t xml:space="preserve"> </w:t>
      </w:r>
      <w:r>
        <w:rPr>
          <w:b/>
          <w:szCs w:val="21"/>
        </w:rPr>
        <w:t xml:space="preserve"> </w:t>
      </w:r>
      <w:r>
        <w:rPr>
          <w:rFonts w:hint="eastAsia" w:cs="宋体"/>
          <w:szCs w:val="21"/>
        </w:rPr>
        <w:t>《</w:t>
      </w:r>
      <w:bookmarkStart w:id="394" w:name="OLE_LINK53"/>
      <w:r>
        <w:rPr>
          <w:rFonts w:hint="eastAsia" w:cs="宋体"/>
          <w:szCs w:val="21"/>
        </w:rPr>
        <w:t>公路工程碳排放估算指标</w:t>
      </w:r>
      <w:bookmarkEnd w:id="394"/>
      <w:r>
        <w:rPr>
          <w:rFonts w:hint="eastAsia" w:cs="宋体"/>
          <w:szCs w:val="21"/>
        </w:rPr>
        <w:t>》Q/CCCG 106</w:t>
      </w:r>
    </w:p>
    <w:p>
      <w:pPr>
        <w:spacing w:line="240" w:lineRule="auto"/>
        <w:ind w:firstLine="421" w:firstLineChars="200"/>
        <w:jc w:val="left"/>
        <w:rPr>
          <w:rFonts w:cs="宋体"/>
          <w:szCs w:val="21"/>
        </w:rPr>
      </w:pPr>
      <w:r>
        <w:rPr>
          <w:rFonts w:hint="eastAsia"/>
          <w:b/>
          <w:bCs/>
          <w:szCs w:val="21"/>
        </w:rPr>
        <w:t>104</w:t>
      </w:r>
      <w:r>
        <w:rPr>
          <w:rFonts w:hint="eastAsia"/>
          <w:b/>
          <w:szCs w:val="21"/>
        </w:rPr>
        <w:t xml:space="preserve"> </w:t>
      </w:r>
      <w:r>
        <w:rPr>
          <w:b/>
          <w:szCs w:val="21"/>
        </w:rPr>
        <w:t xml:space="preserve"> </w:t>
      </w:r>
      <w:r>
        <w:rPr>
          <w:rFonts w:hint="eastAsia" w:cs="宋体"/>
          <w:szCs w:val="21"/>
        </w:rPr>
        <w:t>《公路工程碳排放预算定额》Q/CCCG 107</w:t>
      </w:r>
    </w:p>
    <w:p>
      <w:pPr>
        <w:widowControl/>
        <w:spacing w:line="240" w:lineRule="auto"/>
        <w:jc w:val="left"/>
        <w:rPr>
          <w:rFonts w:cs="宋体"/>
          <w:szCs w:val="21"/>
        </w:rPr>
      </w:pPr>
    </w:p>
    <w:p>
      <w:pPr>
        <w:spacing w:line="240" w:lineRule="auto"/>
        <w:ind w:right="-42" w:rightChars="-20"/>
        <w:jc w:val="center"/>
        <w:rPr>
          <w:rFonts w:eastAsia="黑体"/>
          <w:sz w:val="32"/>
          <w:szCs w:val="32"/>
        </w:rPr>
      </w:pPr>
    </w:p>
    <w:p>
      <w:pPr>
        <w:spacing w:line="240" w:lineRule="auto"/>
        <w:jc w:val="left"/>
        <w:rPr>
          <w:rFonts w:cs="宋体"/>
          <w:szCs w:val="21"/>
        </w:rPr>
      </w:pPr>
    </w:p>
    <w:sectPr>
      <w:footerReference r:id="rId6" w:type="default"/>
      <w:pgSz w:w="11906" w:h="16838"/>
      <w:pgMar w:top="1610" w:right="1349" w:bottom="1213" w:left="1293" w:header="851" w:footer="992" w:gutter="0"/>
      <w:pgNumType w:start="1"/>
      <w:cols w:space="720" w:num="1"/>
      <w:docGrid w:type="lines" w:linePitch="333" w:charSpace="4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86"/>
    <w:family w:val="auto"/>
    <w:pitch w:val="default"/>
    <w:sig w:usb0="00000000" w:usb1="00000000" w:usb2="00000000" w:usb3="00000000" w:csb0="00040001" w:csb1="00000000"/>
  </w:font>
  <w:font w:name="等线 Light">
    <w:altName w:val="URW Bookman"/>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黑体e眠副浡渀.">
    <w:altName w:val="方正黑体_GBK"/>
    <w:panose1 w:val="00000000000000000000"/>
    <w:charset w:val="00"/>
    <w:family w:val="auto"/>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Times New Roman" w:hAnsi="Times New Roman" w:cs="Times New Roman"/>
        <w:i/>
        <w:iCs/>
        <w:sz w:val="21"/>
        <w:szCs w:val="21"/>
      </w:rPr>
    </w:pP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2</w:t>
    </w:r>
    <w:r>
      <w:rPr>
        <w:rFonts w:ascii="Times New Roman" w:hAnsi="Times New Roman" w:cs="Times New Roman"/>
        <w:i/>
        <w:iCs/>
        <w:sz w:val="21"/>
        <w:szCs w:val="2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955"/>
        <w:tab w:val="right" w:pos="9264"/>
      </w:tabs>
      <w:rPr>
        <w:rFonts w:ascii="Times New Roman" w:hAnsi="Times New Roman" w:cs="Times New Roman"/>
        <w:i/>
        <w:iCs/>
        <w:sz w:val="21"/>
        <w:szCs w:val="21"/>
      </w:rPr>
    </w:pPr>
    <w:r>
      <w:tab/>
    </w:r>
    <w:r>
      <w:tab/>
    </w:r>
    <w:r>
      <w:tab/>
    </w:r>
    <w:r>
      <w:tab/>
    </w:r>
    <w:r>
      <w:rPr>
        <w:rFonts w:ascii="Times New Roman" w:hAnsi="Times New Roman" w:cs="Times New Roman"/>
        <w:i/>
        <w:iCs/>
        <w:sz w:val="21"/>
        <w:szCs w:val="21"/>
      </w:rPr>
      <w:fldChar w:fldCharType="begin"/>
    </w:r>
    <w:r>
      <w:rPr>
        <w:rFonts w:ascii="Times New Roman" w:hAnsi="Times New Roman" w:cs="Times New Roman"/>
        <w:i/>
        <w:iCs/>
        <w:sz w:val="21"/>
        <w:szCs w:val="21"/>
      </w:rPr>
      <w:instrText xml:space="preserve">PAGE   \* MERGEFORMAT</w:instrText>
    </w:r>
    <w:r>
      <w:rPr>
        <w:rFonts w:ascii="Times New Roman" w:hAnsi="Times New Roman" w:cs="Times New Roman"/>
        <w:i/>
        <w:iCs/>
        <w:sz w:val="21"/>
        <w:szCs w:val="21"/>
      </w:rPr>
      <w:fldChar w:fldCharType="separate"/>
    </w:r>
    <w:r>
      <w:rPr>
        <w:rFonts w:ascii="Times New Roman" w:hAnsi="Times New Roman" w:cs="Times New Roman"/>
        <w:i/>
        <w:iCs/>
        <w:sz w:val="21"/>
        <w:szCs w:val="21"/>
        <w:lang w:val="zh-CN"/>
      </w:rPr>
      <w:t>7</w:t>
    </w:r>
    <w:r>
      <w:rPr>
        <w:rFonts w:ascii="Times New Roman" w:hAnsi="Times New Roman" w:cs="Times New Roman"/>
        <w:i/>
        <w:iCs/>
        <w:sz w:val="21"/>
        <w:szCs w:val="21"/>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3"/>
      <w:lvlText w:val="%1"/>
      <w:lvlJc w:val="left"/>
      <w:pPr>
        <w:ind w:left="1554" w:hanging="420"/>
      </w:pPr>
      <w:rPr>
        <w:rFonts w:hint="default" w:ascii="Times New Roman" w:hAnsi="Times New Roman" w:eastAsia="宋体"/>
        <w:b w:val="0"/>
        <w:i w:val="0"/>
        <w:sz w:val="28"/>
        <w:szCs w:val="21"/>
      </w:rPr>
    </w:lvl>
    <w:lvl w:ilvl="1" w:tentative="0">
      <w:start w:val="1"/>
      <w:numFmt w:val="decimal"/>
      <w:pStyle w:val="34"/>
      <w:suff w:val="nothing"/>
      <w:lvlText w:val="%1.%2　"/>
      <w:lvlJc w:val="left"/>
      <w:pPr>
        <w:ind w:left="4536" w:firstLine="0"/>
      </w:pPr>
      <w:rPr>
        <w:rFonts w:hint="default" w:ascii="Times New Roman" w:hAnsi="Times New Roman" w:eastAsia="黑体" w:cs="Times New Roman"/>
        <w:b w:val="0"/>
        <w:bCs w:val="0"/>
        <w:i w:val="0"/>
        <w:iCs w:val="0"/>
        <w:caps w:val="0"/>
        <w:strike w:val="0"/>
        <w:dstrike w:val="0"/>
        <w:vanish w:val="0"/>
        <w:color w:val="000000"/>
        <w:spacing w:val="0"/>
        <w:kern w:val="0"/>
        <w:position w:val="0"/>
        <w:sz w:val="24"/>
        <w:szCs w:val="24"/>
        <w:u w:val="none"/>
        <w:vertAlign w:val="baseline"/>
      </w:rPr>
    </w:lvl>
    <w:lvl w:ilvl="2" w:tentative="0">
      <w:start w:val="1"/>
      <w:numFmt w:val="decimal"/>
      <w:pStyle w:val="35"/>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pStyle w:val="36"/>
      <w:suff w:val="nothing"/>
      <w:lvlText w:val="%1.%2.%3.%4　"/>
      <w:lvlJc w:val="left"/>
      <w:pPr>
        <w:ind w:left="2977" w:firstLine="0"/>
      </w:pPr>
      <w:rPr>
        <w:rFonts w:hint="default" w:ascii="Times New Roman" w:hAnsi="Times New Roman" w:eastAsia="黑体" w:cs="Times New Roman"/>
        <w:b w:val="0"/>
        <w:i w:val="0"/>
        <w:color w:val="auto"/>
        <w:sz w:val="21"/>
      </w:rPr>
    </w:lvl>
    <w:lvl w:ilvl="4" w:tentative="0">
      <w:start w:val="1"/>
      <w:numFmt w:val="decimal"/>
      <w:pStyle w:val="37"/>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HorizontalSpacing w:val="221"/>
  <w:drawingGridVerticalSpacing w:val="333"/>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e1MDMwNrEwMzRR0lEKTi0uzszPAykwrAUAuJHaTiwAAAA="/>
    <w:docVar w:name="commondata" w:val="eyJoZGlkIjoiMjczOTAzZTg4NTE0OTFjZTE3ZmY4Y2M3NGE5NTUzOTMifQ=="/>
  </w:docVars>
  <w:rsids>
    <w:rsidRoot w:val="0028249B"/>
    <w:rsid w:val="00000E5B"/>
    <w:rsid w:val="00001499"/>
    <w:rsid w:val="00001C98"/>
    <w:rsid w:val="00001F5D"/>
    <w:rsid w:val="000035EA"/>
    <w:rsid w:val="00003B5F"/>
    <w:rsid w:val="00003CEB"/>
    <w:rsid w:val="000049B2"/>
    <w:rsid w:val="000065F2"/>
    <w:rsid w:val="00007D0A"/>
    <w:rsid w:val="00010223"/>
    <w:rsid w:val="0001073F"/>
    <w:rsid w:val="00010DAD"/>
    <w:rsid w:val="00011600"/>
    <w:rsid w:val="00011687"/>
    <w:rsid w:val="00012C8E"/>
    <w:rsid w:val="000132C3"/>
    <w:rsid w:val="00013F23"/>
    <w:rsid w:val="00014892"/>
    <w:rsid w:val="000152E3"/>
    <w:rsid w:val="00015940"/>
    <w:rsid w:val="00015CFB"/>
    <w:rsid w:val="00016105"/>
    <w:rsid w:val="000165C2"/>
    <w:rsid w:val="000169C9"/>
    <w:rsid w:val="00016AE5"/>
    <w:rsid w:val="00016B31"/>
    <w:rsid w:val="00020D92"/>
    <w:rsid w:val="0002203B"/>
    <w:rsid w:val="00022B7F"/>
    <w:rsid w:val="00023C7B"/>
    <w:rsid w:val="0002450A"/>
    <w:rsid w:val="0002460D"/>
    <w:rsid w:val="00024EE5"/>
    <w:rsid w:val="00024FB2"/>
    <w:rsid w:val="00027EA9"/>
    <w:rsid w:val="00027FE6"/>
    <w:rsid w:val="00031263"/>
    <w:rsid w:val="00031ABD"/>
    <w:rsid w:val="00031D6F"/>
    <w:rsid w:val="00031FB3"/>
    <w:rsid w:val="00032508"/>
    <w:rsid w:val="000337D9"/>
    <w:rsid w:val="00033801"/>
    <w:rsid w:val="00033A92"/>
    <w:rsid w:val="00033B54"/>
    <w:rsid w:val="000341FB"/>
    <w:rsid w:val="000343D3"/>
    <w:rsid w:val="0003478A"/>
    <w:rsid w:val="0003507B"/>
    <w:rsid w:val="00035120"/>
    <w:rsid w:val="0003527D"/>
    <w:rsid w:val="000352C3"/>
    <w:rsid w:val="00035E38"/>
    <w:rsid w:val="00036BA1"/>
    <w:rsid w:val="000406CD"/>
    <w:rsid w:val="0004086E"/>
    <w:rsid w:val="00041424"/>
    <w:rsid w:val="0004158B"/>
    <w:rsid w:val="000418AD"/>
    <w:rsid w:val="00041B84"/>
    <w:rsid w:val="00041C25"/>
    <w:rsid w:val="00041F8C"/>
    <w:rsid w:val="00042697"/>
    <w:rsid w:val="00043598"/>
    <w:rsid w:val="00043D8E"/>
    <w:rsid w:val="000444AA"/>
    <w:rsid w:val="00044728"/>
    <w:rsid w:val="00044883"/>
    <w:rsid w:val="00044A1D"/>
    <w:rsid w:val="00044AEA"/>
    <w:rsid w:val="00045004"/>
    <w:rsid w:val="00046FEF"/>
    <w:rsid w:val="000476AD"/>
    <w:rsid w:val="00047D8A"/>
    <w:rsid w:val="00047E8E"/>
    <w:rsid w:val="000502E7"/>
    <w:rsid w:val="000506CA"/>
    <w:rsid w:val="00050EFF"/>
    <w:rsid w:val="000536A6"/>
    <w:rsid w:val="00053DCA"/>
    <w:rsid w:val="000547A3"/>
    <w:rsid w:val="00054B7B"/>
    <w:rsid w:val="00054BDB"/>
    <w:rsid w:val="0005538C"/>
    <w:rsid w:val="00055850"/>
    <w:rsid w:val="00055B37"/>
    <w:rsid w:val="0005626C"/>
    <w:rsid w:val="00056E6A"/>
    <w:rsid w:val="000572A3"/>
    <w:rsid w:val="00057EA9"/>
    <w:rsid w:val="00061FD7"/>
    <w:rsid w:val="0006219C"/>
    <w:rsid w:val="000625A9"/>
    <w:rsid w:val="0006276A"/>
    <w:rsid w:val="00062D3B"/>
    <w:rsid w:val="0006425A"/>
    <w:rsid w:val="00064757"/>
    <w:rsid w:val="00064836"/>
    <w:rsid w:val="00064E8D"/>
    <w:rsid w:val="00065A37"/>
    <w:rsid w:val="00066675"/>
    <w:rsid w:val="0006714D"/>
    <w:rsid w:val="000673B2"/>
    <w:rsid w:val="000673E4"/>
    <w:rsid w:val="0006784F"/>
    <w:rsid w:val="00067A6E"/>
    <w:rsid w:val="00070E3B"/>
    <w:rsid w:val="0007120D"/>
    <w:rsid w:val="00071529"/>
    <w:rsid w:val="0007229E"/>
    <w:rsid w:val="000728F5"/>
    <w:rsid w:val="0007326F"/>
    <w:rsid w:val="00073932"/>
    <w:rsid w:val="00073D7A"/>
    <w:rsid w:val="000761D3"/>
    <w:rsid w:val="00076880"/>
    <w:rsid w:val="0008083E"/>
    <w:rsid w:val="000812A4"/>
    <w:rsid w:val="000819C1"/>
    <w:rsid w:val="0008242A"/>
    <w:rsid w:val="000833EE"/>
    <w:rsid w:val="00083430"/>
    <w:rsid w:val="00084907"/>
    <w:rsid w:val="00085440"/>
    <w:rsid w:val="00085514"/>
    <w:rsid w:val="00085B7B"/>
    <w:rsid w:val="00085DB0"/>
    <w:rsid w:val="00086341"/>
    <w:rsid w:val="00090495"/>
    <w:rsid w:val="00090539"/>
    <w:rsid w:val="0009068D"/>
    <w:rsid w:val="0009084D"/>
    <w:rsid w:val="000908F2"/>
    <w:rsid w:val="000911B4"/>
    <w:rsid w:val="00091D29"/>
    <w:rsid w:val="00092AD3"/>
    <w:rsid w:val="00092BE8"/>
    <w:rsid w:val="00092EDF"/>
    <w:rsid w:val="00095DAA"/>
    <w:rsid w:val="00095E52"/>
    <w:rsid w:val="000961BF"/>
    <w:rsid w:val="000964DA"/>
    <w:rsid w:val="0009672D"/>
    <w:rsid w:val="00096916"/>
    <w:rsid w:val="00096F5E"/>
    <w:rsid w:val="000973CC"/>
    <w:rsid w:val="00097E6F"/>
    <w:rsid w:val="000A0111"/>
    <w:rsid w:val="000A0563"/>
    <w:rsid w:val="000A11FF"/>
    <w:rsid w:val="000A1BFD"/>
    <w:rsid w:val="000A2B97"/>
    <w:rsid w:val="000A2E17"/>
    <w:rsid w:val="000A3909"/>
    <w:rsid w:val="000A3BDC"/>
    <w:rsid w:val="000A42D1"/>
    <w:rsid w:val="000A4586"/>
    <w:rsid w:val="000A56AA"/>
    <w:rsid w:val="000A582D"/>
    <w:rsid w:val="000A6725"/>
    <w:rsid w:val="000A712E"/>
    <w:rsid w:val="000A748A"/>
    <w:rsid w:val="000A7BB7"/>
    <w:rsid w:val="000B0008"/>
    <w:rsid w:val="000B08E9"/>
    <w:rsid w:val="000B154C"/>
    <w:rsid w:val="000B1D43"/>
    <w:rsid w:val="000B2401"/>
    <w:rsid w:val="000B3633"/>
    <w:rsid w:val="000B3B5F"/>
    <w:rsid w:val="000B4111"/>
    <w:rsid w:val="000B41F1"/>
    <w:rsid w:val="000B4310"/>
    <w:rsid w:val="000B5197"/>
    <w:rsid w:val="000B5C54"/>
    <w:rsid w:val="000B5F22"/>
    <w:rsid w:val="000B5F54"/>
    <w:rsid w:val="000B613F"/>
    <w:rsid w:val="000B62A0"/>
    <w:rsid w:val="000B6CA6"/>
    <w:rsid w:val="000B6D93"/>
    <w:rsid w:val="000B7A10"/>
    <w:rsid w:val="000B7F6C"/>
    <w:rsid w:val="000C096D"/>
    <w:rsid w:val="000C161F"/>
    <w:rsid w:val="000C19E3"/>
    <w:rsid w:val="000C1A3D"/>
    <w:rsid w:val="000C2772"/>
    <w:rsid w:val="000C2BBE"/>
    <w:rsid w:val="000C2CE6"/>
    <w:rsid w:val="000C3652"/>
    <w:rsid w:val="000C381A"/>
    <w:rsid w:val="000C4323"/>
    <w:rsid w:val="000C438C"/>
    <w:rsid w:val="000C466F"/>
    <w:rsid w:val="000C5E7B"/>
    <w:rsid w:val="000C6EB5"/>
    <w:rsid w:val="000C7162"/>
    <w:rsid w:val="000C7FB6"/>
    <w:rsid w:val="000C7FEC"/>
    <w:rsid w:val="000D0DEA"/>
    <w:rsid w:val="000D17CC"/>
    <w:rsid w:val="000D1C44"/>
    <w:rsid w:val="000D1DFA"/>
    <w:rsid w:val="000D206B"/>
    <w:rsid w:val="000D2DDC"/>
    <w:rsid w:val="000D3FAE"/>
    <w:rsid w:val="000D4155"/>
    <w:rsid w:val="000D47E9"/>
    <w:rsid w:val="000D4A1C"/>
    <w:rsid w:val="000D51A4"/>
    <w:rsid w:val="000D5964"/>
    <w:rsid w:val="000D5A90"/>
    <w:rsid w:val="000D67E8"/>
    <w:rsid w:val="000D72BA"/>
    <w:rsid w:val="000D731C"/>
    <w:rsid w:val="000E05BE"/>
    <w:rsid w:val="000E089B"/>
    <w:rsid w:val="000E0AE8"/>
    <w:rsid w:val="000E0F9E"/>
    <w:rsid w:val="000E1B21"/>
    <w:rsid w:val="000E20DB"/>
    <w:rsid w:val="000E3714"/>
    <w:rsid w:val="000E5622"/>
    <w:rsid w:val="000E5901"/>
    <w:rsid w:val="000E6079"/>
    <w:rsid w:val="000E65D7"/>
    <w:rsid w:val="000E6AC2"/>
    <w:rsid w:val="000F07F6"/>
    <w:rsid w:val="000F0A01"/>
    <w:rsid w:val="000F0D89"/>
    <w:rsid w:val="000F0FE5"/>
    <w:rsid w:val="000F15FB"/>
    <w:rsid w:val="000F1D6C"/>
    <w:rsid w:val="000F2BD2"/>
    <w:rsid w:val="000F2EA6"/>
    <w:rsid w:val="000F32F4"/>
    <w:rsid w:val="000F3710"/>
    <w:rsid w:val="000F40C5"/>
    <w:rsid w:val="000F5AC8"/>
    <w:rsid w:val="000F5B9C"/>
    <w:rsid w:val="000F5FDE"/>
    <w:rsid w:val="000F610F"/>
    <w:rsid w:val="000F6442"/>
    <w:rsid w:val="000F65E0"/>
    <w:rsid w:val="000F6738"/>
    <w:rsid w:val="000F6CAA"/>
    <w:rsid w:val="000F75C6"/>
    <w:rsid w:val="000F7A78"/>
    <w:rsid w:val="000F7BC2"/>
    <w:rsid w:val="00100239"/>
    <w:rsid w:val="00100E35"/>
    <w:rsid w:val="001012F9"/>
    <w:rsid w:val="00102B21"/>
    <w:rsid w:val="00102EC9"/>
    <w:rsid w:val="00103452"/>
    <w:rsid w:val="00103C0E"/>
    <w:rsid w:val="00104D23"/>
    <w:rsid w:val="00105479"/>
    <w:rsid w:val="00105EAD"/>
    <w:rsid w:val="001062A2"/>
    <w:rsid w:val="00106A5B"/>
    <w:rsid w:val="00106E89"/>
    <w:rsid w:val="00107677"/>
    <w:rsid w:val="00107F31"/>
    <w:rsid w:val="00110292"/>
    <w:rsid w:val="00110C5F"/>
    <w:rsid w:val="00110FB1"/>
    <w:rsid w:val="001115B8"/>
    <w:rsid w:val="00111AB2"/>
    <w:rsid w:val="00111ADD"/>
    <w:rsid w:val="00112894"/>
    <w:rsid w:val="00113A11"/>
    <w:rsid w:val="00113D50"/>
    <w:rsid w:val="001141AB"/>
    <w:rsid w:val="00115211"/>
    <w:rsid w:val="00115746"/>
    <w:rsid w:val="00115CEA"/>
    <w:rsid w:val="00115DFF"/>
    <w:rsid w:val="001161AF"/>
    <w:rsid w:val="00116D56"/>
    <w:rsid w:val="00116EFF"/>
    <w:rsid w:val="00117C28"/>
    <w:rsid w:val="00120982"/>
    <w:rsid w:val="0012138B"/>
    <w:rsid w:val="00121CF5"/>
    <w:rsid w:val="00121DAD"/>
    <w:rsid w:val="00122650"/>
    <w:rsid w:val="001226E4"/>
    <w:rsid w:val="00122FA3"/>
    <w:rsid w:val="001233A6"/>
    <w:rsid w:val="00123643"/>
    <w:rsid w:val="001238DB"/>
    <w:rsid w:val="00124696"/>
    <w:rsid w:val="00124AC8"/>
    <w:rsid w:val="00125102"/>
    <w:rsid w:val="001258D1"/>
    <w:rsid w:val="00125969"/>
    <w:rsid w:val="00126AAD"/>
    <w:rsid w:val="00127A2D"/>
    <w:rsid w:val="001300E9"/>
    <w:rsid w:val="00130C72"/>
    <w:rsid w:val="00130D34"/>
    <w:rsid w:val="00132937"/>
    <w:rsid w:val="00133302"/>
    <w:rsid w:val="00134B2D"/>
    <w:rsid w:val="00136955"/>
    <w:rsid w:val="001373D1"/>
    <w:rsid w:val="00137A44"/>
    <w:rsid w:val="00137B10"/>
    <w:rsid w:val="00140C6C"/>
    <w:rsid w:val="0014114C"/>
    <w:rsid w:val="001413A9"/>
    <w:rsid w:val="001417FE"/>
    <w:rsid w:val="00141E96"/>
    <w:rsid w:val="00143BEE"/>
    <w:rsid w:val="0014403A"/>
    <w:rsid w:val="001443A2"/>
    <w:rsid w:val="00144CA4"/>
    <w:rsid w:val="001457CD"/>
    <w:rsid w:val="0014592D"/>
    <w:rsid w:val="00145D0C"/>
    <w:rsid w:val="00146220"/>
    <w:rsid w:val="00146466"/>
    <w:rsid w:val="0014677C"/>
    <w:rsid w:val="001470CB"/>
    <w:rsid w:val="00147138"/>
    <w:rsid w:val="0014750D"/>
    <w:rsid w:val="001479F3"/>
    <w:rsid w:val="0015077D"/>
    <w:rsid w:val="00151A09"/>
    <w:rsid w:val="00151ACC"/>
    <w:rsid w:val="00151CB4"/>
    <w:rsid w:val="00152A3E"/>
    <w:rsid w:val="0015306A"/>
    <w:rsid w:val="00153835"/>
    <w:rsid w:val="00153B35"/>
    <w:rsid w:val="001555EA"/>
    <w:rsid w:val="001559A6"/>
    <w:rsid w:val="00155EC2"/>
    <w:rsid w:val="00156298"/>
    <w:rsid w:val="00157E1D"/>
    <w:rsid w:val="00160121"/>
    <w:rsid w:val="0016023D"/>
    <w:rsid w:val="00160510"/>
    <w:rsid w:val="001605D5"/>
    <w:rsid w:val="001609B7"/>
    <w:rsid w:val="001622C0"/>
    <w:rsid w:val="001628A0"/>
    <w:rsid w:val="00163174"/>
    <w:rsid w:val="001637C1"/>
    <w:rsid w:val="00164937"/>
    <w:rsid w:val="00164FAA"/>
    <w:rsid w:val="001659D6"/>
    <w:rsid w:val="00166451"/>
    <w:rsid w:val="0016673D"/>
    <w:rsid w:val="00166B9C"/>
    <w:rsid w:val="0016717A"/>
    <w:rsid w:val="0016763F"/>
    <w:rsid w:val="0016781C"/>
    <w:rsid w:val="00171BA5"/>
    <w:rsid w:val="00171EE0"/>
    <w:rsid w:val="0017252E"/>
    <w:rsid w:val="001725C1"/>
    <w:rsid w:val="001726D3"/>
    <w:rsid w:val="00173B59"/>
    <w:rsid w:val="00173E4E"/>
    <w:rsid w:val="0017401E"/>
    <w:rsid w:val="00174560"/>
    <w:rsid w:val="00174D51"/>
    <w:rsid w:val="00174F0E"/>
    <w:rsid w:val="00175A1F"/>
    <w:rsid w:val="00175B23"/>
    <w:rsid w:val="00175BF6"/>
    <w:rsid w:val="00175E0E"/>
    <w:rsid w:val="00176359"/>
    <w:rsid w:val="001773D8"/>
    <w:rsid w:val="0017751D"/>
    <w:rsid w:val="00177760"/>
    <w:rsid w:val="00180827"/>
    <w:rsid w:val="00180EB5"/>
    <w:rsid w:val="00182F63"/>
    <w:rsid w:val="00183C94"/>
    <w:rsid w:val="00183CA9"/>
    <w:rsid w:val="00184E63"/>
    <w:rsid w:val="00185C34"/>
    <w:rsid w:val="00186040"/>
    <w:rsid w:val="00186C1C"/>
    <w:rsid w:val="001873C9"/>
    <w:rsid w:val="0018795A"/>
    <w:rsid w:val="00190C10"/>
    <w:rsid w:val="0019178E"/>
    <w:rsid w:val="001917F6"/>
    <w:rsid w:val="00191D92"/>
    <w:rsid w:val="00192550"/>
    <w:rsid w:val="00193475"/>
    <w:rsid w:val="001937BA"/>
    <w:rsid w:val="00193F30"/>
    <w:rsid w:val="00194085"/>
    <w:rsid w:val="001944F3"/>
    <w:rsid w:val="0019519F"/>
    <w:rsid w:val="00195E82"/>
    <w:rsid w:val="00195F7F"/>
    <w:rsid w:val="00195FF0"/>
    <w:rsid w:val="001967FC"/>
    <w:rsid w:val="00197678"/>
    <w:rsid w:val="00197807"/>
    <w:rsid w:val="00197BFC"/>
    <w:rsid w:val="001A0B2D"/>
    <w:rsid w:val="001A0D37"/>
    <w:rsid w:val="001A0D39"/>
    <w:rsid w:val="001A1B9F"/>
    <w:rsid w:val="001A1FA2"/>
    <w:rsid w:val="001A2162"/>
    <w:rsid w:val="001A2AB2"/>
    <w:rsid w:val="001A3152"/>
    <w:rsid w:val="001A4982"/>
    <w:rsid w:val="001A5116"/>
    <w:rsid w:val="001A60EB"/>
    <w:rsid w:val="001A6B7D"/>
    <w:rsid w:val="001A73B2"/>
    <w:rsid w:val="001B03FC"/>
    <w:rsid w:val="001B0BA0"/>
    <w:rsid w:val="001B1E88"/>
    <w:rsid w:val="001B2A5E"/>
    <w:rsid w:val="001B3CAE"/>
    <w:rsid w:val="001B4C31"/>
    <w:rsid w:val="001B4E8B"/>
    <w:rsid w:val="001B5F71"/>
    <w:rsid w:val="001B6E6D"/>
    <w:rsid w:val="001B6E73"/>
    <w:rsid w:val="001B6EB1"/>
    <w:rsid w:val="001C0871"/>
    <w:rsid w:val="001C0AE9"/>
    <w:rsid w:val="001C179F"/>
    <w:rsid w:val="001C1F03"/>
    <w:rsid w:val="001C21D4"/>
    <w:rsid w:val="001C259D"/>
    <w:rsid w:val="001C390E"/>
    <w:rsid w:val="001C3FD3"/>
    <w:rsid w:val="001C5A6A"/>
    <w:rsid w:val="001C5E8A"/>
    <w:rsid w:val="001C64E3"/>
    <w:rsid w:val="001C67D5"/>
    <w:rsid w:val="001C7A71"/>
    <w:rsid w:val="001C7DA8"/>
    <w:rsid w:val="001C7FEB"/>
    <w:rsid w:val="001D001B"/>
    <w:rsid w:val="001D03FA"/>
    <w:rsid w:val="001D225A"/>
    <w:rsid w:val="001D3160"/>
    <w:rsid w:val="001D3813"/>
    <w:rsid w:val="001D4C58"/>
    <w:rsid w:val="001D4D8A"/>
    <w:rsid w:val="001D5AED"/>
    <w:rsid w:val="001D5B9E"/>
    <w:rsid w:val="001D68A7"/>
    <w:rsid w:val="001D69DB"/>
    <w:rsid w:val="001D758D"/>
    <w:rsid w:val="001D7705"/>
    <w:rsid w:val="001D7814"/>
    <w:rsid w:val="001E1248"/>
    <w:rsid w:val="001E13E7"/>
    <w:rsid w:val="001E16F1"/>
    <w:rsid w:val="001E1854"/>
    <w:rsid w:val="001E1C61"/>
    <w:rsid w:val="001E2E1C"/>
    <w:rsid w:val="001E2FD6"/>
    <w:rsid w:val="001E32B3"/>
    <w:rsid w:val="001E355C"/>
    <w:rsid w:val="001E3A54"/>
    <w:rsid w:val="001E3B12"/>
    <w:rsid w:val="001E3B39"/>
    <w:rsid w:val="001E4858"/>
    <w:rsid w:val="001E6079"/>
    <w:rsid w:val="001E624A"/>
    <w:rsid w:val="001E6A3D"/>
    <w:rsid w:val="001E716A"/>
    <w:rsid w:val="001E7331"/>
    <w:rsid w:val="001F0E20"/>
    <w:rsid w:val="001F0FBD"/>
    <w:rsid w:val="001F17E5"/>
    <w:rsid w:val="001F281C"/>
    <w:rsid w:val="001F2998"/>
    <w:rsid w:val="001F2EF0"/>
    <w:rsid w:val="001F364A"/>
    <w:rsid w:val="001F3ED7"/>
    <w:rsid w:val="001F4765"/>
    <w:rsid w:val="001F4BC8"/>
    <w:rsid w:val="001F51D9"/>
    <w:rsid w:val="001F52E1"/>
    <w:rsid w:val="001F5328"/>
    <w:rsid w:val="001F5923"/>
    <w:rsid w:val="001F5B01"/>
    <w:rsid w:val="001F5D19"/>
    <w:rsid w:val="001F5F6C"/>
    <w:rsid w:val="001F64C7"/>
    <w:rsid w:val="001F7D25"/>
    <w:rsid w:val="001F7E72"/>
    <w:rsid w:val="002004E9"/>
    <w:rsid w:val="002012AE"/>
    <w:rsid w:val="00202B04"/>
    <w:rsid w:val="00202CE9"/>
    <w:rsid w:val="00203547"/>
    <w:rsid w:val="00203B21"/>
    <w:rsid w:val="00203FD8"/>
    <w:rsid w:val="00204EC1"/>
    <w:rsid w:val="00206045"/>
    <w:rsid w:val="002069C2"/>
    <w:rsid w:val="00206EDF"/>
    <w:rsid w:val="002075AC"/>
    <w:rsid w:val="00207BD7"/>
    <w:rsid w:val="00210510"/>
    <w:rsid w:val="00210B64"/>
    <w:rsid w:val="002111DC"/>
    <w:rsid w:val="00211388"/>
    <w:rsid w:val="0021157C"/>
    <w:rsid w:val="00211DB7"/>
    <w:rsid w:val="00211DBF"/>
    <w:rsid w:val="00211DE6"/>
    <w:rsid w:val="00215040"/>
    <w:rsid w:val="00215D84"/>
    <w:rsid w:val="00216C5A"/>
    <w:rsid w:val="00216C5F"/>
    <w:rsid w:val="00216CF6"/>
    <w:rsid w:val="00217573"/>
    <w:rsid w:val="002176C2"/>
    <w:rsid w:val="00220124"/>
    <w:rsid w:val="00221522"/>
    <w:rsid w:val="0022155A"/>
    <w:rsid w:val="002218A4"/>
    <w:rsid w:val="00222457"/>
    <w:rsid w:val="00223184"/>
    <w:rsid w:val="002237D8"/>
    <w:rsid w:val="002238AA"/>
    <w:rsid w:val="00223D0C"/>
    <w:rsid w:val="00224D47"/>
    <w:rsid w:val="0022771B"/>
    <w:rsid w:val="00227BF3"/>
    <w:rsid w:val="00227CEA"/>
    <w:rsid w:val="002306FA"/>
    <w:rsid w:val="0023183E"/>
    <w:rsid w:val="002318C1"/>
    <w:rsid w:val="002321BC"/>
    <w:rsid w:val="00233348"/>
    <w:rsid w:val="002343BD"/>
    <w:rsid w:val="00234558"/>
    <w:rsid w:val="00234C35"/>
    <w:rsid w:val="00234CA4"/>
    <w:rsid w:val="00236064"/>
    <w:rsid w:val="002365D9"/>
    <w:rsid w:val="00236AC8"/>
    <w:rsid w:val="00237098"/>
    <w:rsid w:val="002376F5"/>
    <w:rsid w:val="00237BC8"/>
    <w:rsid w:val="00237C5E"/>
    <w:rsid w:val="00240759"/>
    <w:rsid w:val="00240AEE"/>
    <w:rsid w:val="00241193"/>
    <w:rsid w:val="002417EF"/>
    <w:rsid w:val="002437F2"/>
    <w:rsid w:val="00243CB3"/>
    <w:rsid w:val="00244A32"/>
    <w:rsid w:val="00244EA9"/>
    <w:rsid w:val="0024521E"/>
    <w:rsid w:val="002457FC"/>
    <w:rsid w:val="00246195"/>
    <w:rsid w:val="00246D31"/>
    <w:rsid w:val="00246D56"/>
    <w:rsid w:val="002474C4"/>
    <w:rsid w:val="0024773E"/>
    <w:rsid w:val="0025008A"/>
    <w:rsid w:val="0025083D"/>
    <w:rsid w:val="00250C0B"/>
    <w:rsid w:val="00251317"/>
    <w:rsid w:val="00251704"/>
    <w:rsid w:val="00251818"/>
    <w:rsid w:val="002526E1"/>
    <w:rsid w:val="002531D1"/>
    <w:rsid w:val="00253220"/>
    <w:rsid w:val="0025376F"/>
    <w:rsid w:val="00253962"/>
    <w:rsid w:val="00253DB8"/>
    <w:rsid w:val="0025403B"/>
    <w:rsid w:val="002555F8"/>
    <w:rsid w:val="00255F75"/>
    <w:rsid w:val="00256279"/>
    <w:rsid w:val="00256529"/>
    <w:rsid w:val="0025657B"/>
    <w:rsid w:val="002578BE"/>
    <w:rsid w:val="002609D4"/>
    <w:rsid w:val="00260B1A"/>
    <w:rsid w:val="00261316"/>
    <w:rsid w:val="00261D1B"/>
    <w:rsid w:val="00261D6B"/>
    <w:rsid w:val="0026242B"/>
    <w:rsid w:val="0026455C"/>
    <w:rsid w:val="002649BD"/>
    <w:rsid w:val="00265B5E"/>
    <w:rsid w:val="002660D7"/>
    <w:rsid w:val="00266745"/>
    <w:rsid w:val="0026699D"/>
    <w:rsid w:val="00266B28"/>
    <w:rsid w:val="0026785A"/>
    <w:rsid w:val="00267EED"/>
    <w:rsid w:val="002721CA"/>
    <w:rsid w:val="00273132"/>
    <w:rsid w:val="002736DF"/>
    <w:rsid w:val="00273E07"/>
    <w:rsid w:val="00274227"/>
    <w:rsid w:val="002745DE"/>
    <w:rsid w:val="00274DFB"/>
    <w:rsid w:val="00276274"/>
    <w:rsid w:val="00276D0F"/>
    <w:rsid w:val="002772DC"/>
    <w:rsid w:val="00277A5D"/>
    <w:rsid w:val="00277D43"/>
    <w:rsid w:val="00277EA3"/>
    <w:rsid w:val="0028038D"/>
    <w:rsid w:val="0028053D"/>
    <w:rsid w:val="0028076C"/>
    <w:rsid w:val="00280803"/>
    <w:rsid w:val="002815D8"/>
    <w:rsid w:val="00281CD6"/>
    <w:rsid w:val="0028249B"/>
    <w:rsid w:val="00283A37"/>
    <w:rsid w:val="0028553E"/>
    <w:rsid w:val="00285A24"/>
    <w:rsid w:val="00286325"/>
    <w:rsid w:val="002863A6"/>
    <w:rsid w:val="002873E1"/>
    <w:rsid w:val="00287519"/>
    <w:rsid w:val="0028762F"/>
    <w:rsid w:val="002879E7"/>
    <w:rsid w:val="00287A57"/>
    <w:rsid w:val="00287F6A"/>
    <w:rsid w:val="0029057C"/>
    <w:rsid w:val="00290FE0"/>
    <w:rsid w:val="00291726"/>
    <w:rsid w:val="002918AB"/>
    <w:rsid w:val="00291EF7"/>
    <w:rsid w:val="00292542"/>
    <w:rsid w:val="00292AC8"/>
    <w:rsid w:val="00293B6B"/>
    <w:rsid w:val="00294192"/>
    <w:rsid w:val="00294326"/>
    <w:rsid w:val="002944C4"/>
    <w:rsid w:val="0029464F"/>
    <w:rsid w:val="002949B0"/>
    <w:rsid w:val="00294A6A"/>
    <w:rsid w:val="00294B40"/>
    <w:rsid w:val="00295404"/>
    <w:rsid w:val="0029640E"/>
    <w:rsid w:val="00296AB9"/>
    <w:rsid w:val="00296FAF"/>
    <w:rsid w:val="002A02E5"/>
    <w:rsid w:val="002A0671"/>
    <w:rsid w:val="002A2997"/>
    <w:rsid w:val="002A30A5"/>
    <w:rsid w:val="002A3963"/>
    <w:rsid w:val="002A4550"/>
    <w:rsid w:val="002A4560"/>
    <w:rsid w:val="002A4A09"/>
    <w:rsid w:val="002A59DF"/>
    <w:rsid w:val="002A5B30"/>
    <w:rsid w:val="002A60C0"/>
    <w:rsid w:val="002A6DDD"/>
    <w:rsid w:val="002A7243"/>
    <w:rsid w:val="002A77AF"/>
    <w:rsid w:val="002B04E4"/>
    <w:rsid w:val="002B18B3"/>
    <w:rsid w:val="002B1AA6"/>
    <w:rsid w:val="002B1D32"/>
    <w:rsid w:val="002B22AB"/>
    <w:rsid w:val="002B2C64"/>
    <w:rsid w:val="002B3072"/>
    <w:rsid w:val="002B45C7"/>
    <w:rsid w:val="002B4BD3"/>
    <w:rsid w:val="002B53EF"/>
    <w:rsid w:val="002B5638"/>
    <w:rsid w:val="002B6394"/>
    <w:rsid w:val="002B649A"/>
    <w:rsid w:val="002B6CFA"/>
    <w:rsid w:val="002B70FE"/>
    <w:rsid w:val="002B712E"/>
    <w:rsid w:val="002C0359"/>
    <w:rsid w:val="002C0592"/>
    <w:rsid w:val="002C2493"/>
    <w:rsid w:val="002C2BA3"/>
    <w:rsid w:val="002C2E99"/>
    <w:rsid w:val="002C5178"/>
    <w:rsid w:val="002C62AA"/>
    <w:rsid w:val="002C7421"/>
    <w:rsid w:val="002C7699"/>
    <w:rsid w:val="002C7BAF"/>
    <w:rsid w:val="002D023D"/>
    <w:rsid w:val="002D2262"/>
    <w:rsid w:val="002D3ADA"/>
    <w:rsid w:val="002D4419"/>
    <w:rsid w:val="002D4482"/>
    <w:rsid w:val="002D4FF3"/>
    <w:rsid w:val="002D6792"/>
    <w:rsid w:val="002D6851"/>
    <w:rsid w:val="002D6C74"/>
    <w:rsid w:val="002D6DA9"/>
    <w:rsid w:val="002D6DD5"/>
    <w:rsid w:val="002D6E23"/>
    <w:rsid w:val="002D6FC3"/>
    <w:rsid w:val="002E0258"/>
    <w:rsid w:val="002E1A9D"/>
    <w:rsid w:val="002E1AE9"/>
    <w:rsid w:val="002E1CF1"/>
    <w:rsid w:val="002E1CF3"/>
    <w:rsid w:val="002E1EF4"/>
    <w:rsid w:val="002E2425"/>
    <w:rsid w:val="002E28CC"/>
    <w:rsid w:val="002E2973"/>
    <w:rsid w:val="002E2CDD"/>
    <w:rsid w:val="002E3ADB"/>
    <w:rsid w:val="002E4799"/>
    <w:rsid w:val="002E51E5"/>
    <w:rsid w:val="002E54D7"/>
    <w:rsid w:val="002E55B9"/>
    <w:rsid w:val="002E58D6"/>
    <w:rsid w:val="002E6ACE"/>
    <w:rsid w:val="002E723A"/>
    <w:rsid w:val="002E73B2"/>
    <w:rsid w:val="002E74B2"/>
    <w:rsid w:val="002E7BCF"/>
    <w:rsid w:val="002F0097"/>
    <w:rsid w:val="002F01BE"/>
    <w:rsid w:val="002F08E7"/>
    <w:rsid w:val="002F0DA5"/>
    <w:rsid w:val="002F14F1"/>
    <w:rsid w:val="002F1AE7"/>
    <w:rsid w:val="002F1CF1"/>
    <w:rsid w:val="002F2A9B"/>
    <w:rsid w:val="002F2F14"/>
    <w:rsid w:val="002F2F6C"/>
    <w:rsid w:val="002F3BA1"/>
    <w:rsid w:val="002F4026"/>
    <w:rsid w:val="002F4654"/>
    <w:rsid w:val="002F53D6"/>
    <w:rsid w:val="002F5A98"/>
    <w:rsid w:val="002F61D2"/>
    <w:rsid w:val="002F631E"/>
    <w:rsid w:val="002F6702"/>
    <w:rsid w:val="002F6BD6"/>
    <w:rsid w:val="00300546"/>
    <w:rsid w:val="00300FF7"/>
    <w:rsid w:val="003013EE"/>
    <w:rsid w:val="00301AF3"/>
    <w:rsid w:val="003024A3"/>
    <w:rsid w:val="00302F4A"/>
    <w:rsid w:val="00303582"/>
    <w:rsid w:val="003036D3"/>
    <w:rsid w:val="00303EB2"/>
    <w:rsid w:val="003045FB"/>
    <w:rsid w:val="00304C62"/>
    <w:rsid w:val="00304D47"/>
    <w:rsid w:val="00304F7A"/>
    <w:rsid w:val="003052C9"/>
    <w:rsid w:val="00305CA7"/>
    <w:rsid w:val="00305CFC"/>
    <w:rsid w:val="00305E25"/>
    <w:rsid w:val="0030664E"/>
    <w:rsid w:val="0030685E"/>
    <w:rsid w:val="00307D64"/>
    <w:rsid w:val="00310154"/>
    <w:rsid w:val="003116DB"/>
    <w:rsid w:val="00311707"/>
    <w:rsid w:val="00311726"/>
    <w:rsid w:val="003117C6"/>
    <w:rsid w:val="00311996"/>
    <w:rsid w:val="00311CB5"/>
    <w:rsid w:val="00311D71"/>
    <w:rsid w:val="00312717"/>
    <w:rsid w:val="003129E3"/>
    <w:rsid w:val="00313AF6"/>
    <w:rsid w:val="003154C7"/>
    <w:rsid w:val="00315646"/>
    <w:rsid w:val="00315BE9"/>
    <w:rsid w:val="00316950"/>
    <w:rsid w:val="0031698D"/>
    <w:rsid w:val="00316DBE"/>
    <w:rsid w:val="00316EFB"/>
    <w:rsid w:val="0031754A"/>
    <w:rsid w:val="003175CD"/>
    <w:rsid w:val="00317688"/>
    <w:rsid w:val="00320541"/>
    <w:rsid w:val="00321416"/>
    <w:rsid w:val="0032182E"/>
    <w:rsid w:val="00321999"/>
    <w:rsid w:val="00321D32"/>
    <w:rsid w:val="003223AB"/>
    <w:rsid w:val="003226FB"/>
    <w:rsid w:val="00322A04"/>
    <w:rsid w:val="00322EA2"/>
    <w:rsid w:val="003240B4"/>
    <w:rsid w:val="0032446F"/>
    <w:rsid w:val="00324918"/>
    <w:rsid w:val="00324F5A"/>
    <w:rsid w:val="00325044"/>
    <w:rsid w:val="00325CCA"/>
    <w:rsid w:val="00326021"/>
    <w:rsid w:val="0032636F"/>
    <w:rsid w:val="003266F7"/>
    <w:rsid w:val="003274A5"/>
    <w:rsid w:val="003314CD"/>
    <w:rsid w:val="0033188C"/>
    <w:rsid w:val="003318AC"/>
    <w:rsid w:val="00331ECF"/>
    <w:rsid w:val="0033218C"/>
    <w:rsid w:val="003324D8"/>
    <w:rsid w:val="0033392B"/>
    <w:rsid w:val="0033470A"/>
    <w:rsid w:val="0033492E"/>
    <w:rsid w:val="00335690"/>
    <w:rsid w:val="00335E1C"/>
    <w:rsid w:val="003368AC"/>
    <w:rsid w:val="00337CB8"/>
    <w:rsid w:val="0034005D"/>
    <w:rsid w:val="0034037A"/>
    <w:rsid w:val="00340689"/>
    <w:rsid w:val="0034147F"/>
    <w:rsid w:val="00341620"/>
    <w:rsid w:val="0034182B"/>
    <w:rsid w:val="0034240A"/>
    <w:rsid w:val="00342803"/>
    <w:rsid w:val="00342D10"/>
    <w:rsid w:val="003430A1"/>
    <w:rsid w:val="0034350D"/>
    <w:rsid w:val="00344001"/>
    <w:rsid w:val="00344A24"/>
    <w:rsid w:val="00344D1B"/>
    <w:rsid w:val="003454AA"/>
    <w:rsid w:val="003456CF"/>
    <w:rsid w:val="003462B6"/>
    <w:rsid w:val="00346CD0"/>
    <w:rsid w:val="00347A8F"/>
    <w:rsid w:val="0035014C"/>
    <w:rsid w:val="003503FD"/>
    <w:rsid w:val="003508E6"/>
    <w:rsid w:val="00351B0E"/>
    <w:rsid w:val="00351FCC"/>
    <w:rsid w:val="003526BB"/>
    <w:rsid w:val="0035328B"/>
    <w:rsid w:val="00353EB3"/>
    <w:rsid w:val="00353F3D"/>
    <w:rsid w:val="003547F8"/>
    <w:rsid w:val="003549E2"/>
    <w:rsid w:val="00354F56"/>
    <w:rsid w:val="003553FB"/>
    <w:rsid w:val="00355E62"/>
    <w:rsid w:val="00356048"/>
    <w:rsid w:val="0035677A"/>
    <w:rsid w:val="003568BD"/>
    <w:rsid w:val="00356910"/>
    <w:rsid w:val="00356B49"/>
    <w:rsid w:val="00357194"/>
    <w:rsid w:val="0035781E"/>
    <w:rsid w:val="00357DEC"/>
    <w:rsid w:val="00360C0A"/>
    <w:rsid w:val="00361092"/>
    <w:rsid w:val="003610E6"/>
    <w:rsid w:val="00362E81"/>
    <w:rsid w:val="00362F26"/>
    <w:rsid w:val="00363957"/>
    <w:rsid w:val="00364162"/>
    <w:rsid w:val="00364407"/>
    <w:rsid w:val="0036449B"/>
    <w:rsid w:val="003646AD"/>
    <w:rsid w:val="003646B8"/>
    <w:rsid w:val="00364A59"/>
    <w:rsid w:val="00364EBE"/>
    <w:rsid w:val="0036614A"/>
    <w:rsid w:val="00366251"/>
    <w:rsid w:val="003678AA"/>
    <w:rsid w:val="003679FB"/>
    <w:rsid w:val="00370F29"/>
    <w:rsid w:val="00371CAD"/>
    <w:rsid w:val="003725B4"/>
    <w:rsid w:val="003729C8"/>
    <w:rsid w:val="00373957"/>
    <w:rsid w:val="00373F8B"/>
    <w:rsid w:val="003743F6"/>
    <w:rsid w:val="003754E7"/>
    <w:rsid w:val="00375A3A"/>
    <w:rsid w:val="00375F5D"/>
    <w:rsid w:val="00375FB0"/>
    <w:rsid w:val="00377508"/>
    <w:rsid w:val="00377EA8"/>
    <w:rsid w:val="00380053"/>
    <w:rsid w:val="003802B7"/>
    <w:rsid w:val="0038175D"/>
    <w:rsid w:val="003821FB"/>
    <w:rsid w:val="003822CB"/>
    <w:rsid w:val="003828D2"/>
    <w:rsid w:val="0038297A"/>
    <w:rsid w:val="00382AAB"/>
    <w:rsid w:val="00382EBC"/>
    <w:rsid w:val="003839C1"/>
    <w:rsid w:val="00383CF5"/>
    <w:rsid w:val="00384D0D"/>
    <w:rsid w:val="00384E67"/>
    <w:rsid w:val="00385085"/>
    <w:rsid w:val="00385B7D"/>
    <w:rsid w:val="003869F9"/>
    <w:rsid w:val="00387836"/>
    <w:rsid w:val="00387A8F"/>
    <w:rsid w:val="00390721"/>
    <w:rsid w:val="00390DD1"/>
    <w:rsid w:val="00391C33"/>
    <w:rsid w:val="00391DED"/>
    <w:rsid w:val="00391FA8"/>
    <w:rsid w:val="0039260C"/>
    <w:rsid w:val="003928FB"/>
    <w:rsid w:val="003939C1"/>
    <w:rsid w:val="0039731A"/>
    <w:rsid w:val="003978BD"/>
    <w:rsid w:val="00397BBB"/>
    <w:rsid w:val="003A0273"/>
    <w:rsid w:val="003A0DF6"/>
    <w:rsid w:val="003A27F2"/>
    <w:rsid w:val="003A2E22"/>
    <w:rsid w:val="003A2F1F"/>
    <w:rsid w:val="003A30D0"/>
    <w:rsid w:val="003A329D"/>
    <w:rsid w:val="003A4A9A"/>
    <w:rsid w:val="003A4BB4"/>
    <w:rsid w:val="003A4FC3"/>
    <w:rsid w:val="003A5DCE"/>
    <w:rsid w:val="003A62E0"/>
    <w:rsid w:val="003A63DF"/>
    <w:rsid w:val="003A6559"/>
    <w:rsid w:val="003A66CA"/>
    <w:rsid w:val="003A7BE4"/>
    <w:rsid w:val="003A7D92"/>
    <w:rsid w:val="003B0441"/>
    <w:rsid w:val="003B049D"/>
    <w:rsid w:val="003B22BB"/>
    <w:rsid w:val="003B32BF"/>
    <w:rsid w:val="003B3316"/>
    <w:rsid w:val="003B5032"/>
    <w:rsid w:val="003B52B4"/>
    <w:rsid w:val="003B5420"/>
    <w:rsid w:val="003B7234"/>
    <w:rsid w:val="003B792C"/>
    <w:rsid w:val="003C00B2"/>
    <w:rsid w:val="003C0CD3"/>
    <w:rsid w:val="003C1877"/>
    <w:rsid w:val="003C1A1F"/>
    <w:rsid w:val="003C1D51"/>
    <w:rsid w:val="003C2AF7"/>
    <w:rsid w:val="003C3706"/>
    <w:rsid w:val="003C468C"/>
    <w:rsid w:val="003C5867"/>
    <w:rsid w:val="003C58B9"/>
    <w:rsid w:val="003C5C4B"/>
    <w:rsid w:val="003C64CB"/>
    <w:rsid w:val="003C7063"/>
    <w:rsid w:val="003C70B2"/>
    <w:rsid w:val="003D0073"/>
    <w:rsid w:val="003D0955"/>
    <w:rsid w:val="003D1264"/>
    <w:rsid w:val="003D1515"/>
    <w:rsid w:val="003D2B86"/>
    <w:rsid w:val="003D2BE0"/>
    <w:rsid w:val="003D2CD5"/>
    <w:rsid w:val="003D36AF"/>
    <w:rsid w:val="003D48FA"/>
    <w:rsid w:val="003D5918"/>
    <w:rsid w:val="003D5F0A"/>
    <w:rsid w:val="003D6118"/>
    <w:rsid w:val="003D7AD9"/>
    <w:rsid w:val="003E066B"/>
    <w:rsid w:val="003E0B7C"/>
    <w:rsid w:val="003E0C8B"/>
    <w:rsid w:val="003E1DDF"/>
    <w:rsid w:val="003E1EF1"/>
    <w:rsid w:val="003E2408"/>
    <w:rsid w:val="003E2657"/>
    <w:rsid w:val="003E27B0"/>
    <w:rsid w:val="003E5926"/>
    <w:rsid w:val="003E5D88"/>
    <w:rsid w:val="003E620F"/>
    <w:rsid w:val="003E6B30"/>
    <w:rsid w:val="003E720B"/>
    <w:rsid w:val="003E748D"/>
    <w:rsid w:val="003F1B42"/>
    <w:rsid w:val="003F2540"/>
    <w:rsid w:val="003F4275"/>
    <w:rsid w:val="003F4772"/>
    <w:rsid w:val="003F536D"/>
    <w:rsid w:val="003F5EE5"/>
    <w:rsid w:val="003F6D57"/>
    <w:rsid w:val="003F7691"/>
    <w:rsid w:val="003F7D79"/>
    <w:rsid w:val="003F7F6E"/>
    <w:rsid w:val="0040013A"/>
    <w:rsid w:val="00400989"/>
    <w:rsid w:val="00400A89"/>
    <w:rsid w:val="00400FAC"/>
    <w:rsid w:val="00400FE2"/>
    <w:rsid w:val="00401FA9"/>
    <w:rsid w:val="004024B6"/>
    <w:rsid w:val="00402EF8"/>
    <w:rsid w:val="00403093"/>
    <w:rsid w:val="004041CF"/>
    <w:rsid w:val="004042D3"/>
    <w:rsid w:val="0040478D"/>
    <w:rsid w:val="004052B1"/>
    <w:rsid w:val="004065C1"/>
    <w:rsid w:val="004071A1"/>
    <w:rsid w:val="00407B5E"/>
    <w:rsid w:val="00407D34"/>
    <w:rsid w:val="004100B2"/>
    <w:rsid w:val="0041072E"/>
    <w:rsid w:val="00410FCC"/>
    <w:rsid w:val="0041141B"/>
    <w:rsid w:val="00411748"/>
    <w:rsid w:val="00413391"/>
    <w:rsid w:val="0041446F"/>
    <w:rsid w:val="00414D02"/>
    <w:rsid w:val="0041556E"/>
    <w:rsid w:val="004159D7"/>
    <w:rsid w:val="004163DD"/>
    <w:rsid w:val="004163F2"/>
    <w:rsid w:val="0041692A"/>
    <w:rsid w:val="0041718D"/>
    <w:rsid w:val="00417831"/>
    <w:rsid w:val="00420952"/>
    <w:rsid w:val="004214FA"/>
    <w:rsid w:val="004223A9"/>
    <w:rsid w:val="00422CC4"/>
    <w:rsid w:val="00422F4A"/>
    <w:rsid w:val="00426F39"/>
    <w:rsid w:val="00426F73"/>
    <w:rsid w:val="004306D2"/>
    <w:rsid w:val="00430C90"/>
    <w:rsid w:val="00430EA1"/>
    <w:rsid w:val="00431D6E"/>
    <w:rsid w:val="00432D21"/>
    <w:rsid w:val="004340A1"/>
    <w:rsid w:val="00434E71"/>
    <w:rsid w:val="00434FCA"/>
    <w:rsid w:val="004351A7"/>
    <w:rsid w:val="00435520"/>
    <w:rsid w:val="0043639C"/>
    <w:rsid w:val="004367A7"/>
    <w:rsid w:val="00436E0C"/>
    <w:rsid w:val="0043736E"/>
    <w:rsid w:val="0043737E"/>
    <w:rsid w:val="00437649"/>
    <w:rsid w:val="004378F4"/>
    <w:rsid w:val="00437D5E"/>
    <w:rsid w:val="00440039"/>
    <w:rsid w:val="004406F8"/>
    <w:rsid w:val="00441D9C"/>
    <w:rsid w:val="00442A6E"/>
    <w:rsid w:val="004437AA"/>
    <w:rsid w:val="00443BF0"/>
    <w:rsid w:val="00444041"/>
    <w:rsid w:val="004441F5"/>
    <w:rsid w:val="004447E1"/>
    <w:rsid w:val="00444E2D"/>
    <w:rsid w:val="00446FFF"/>
    <w:rsid w:val="0044744A"/>
    <w:rsid w:val="00447635"/>
    <w:rsid w:val="00450073"/>
    <w:rsid w:val="00450949"/>
    <w:rsid w:val="00451089"/>
    <w:rsid w:val="004511C0"/>
    <w:rsid w:val="004521EE"/>
    <w:rsid w:val="004524AE"/>
    <w:rsid w:val="004525A7"/>
    <w:rsid w:val="0045283F"/>
    <w:rsid w:val="004528D3"/>
    <w:rsid w:val="004529F9"/>
    <w:rsid w:val="00453077"/>
    <w:rsid w:val="00453F62"/>
    <w:rsid w:val="00454EF8"/>
    <w:rsid w:val="0045684E"/>
    <w:rsid w:val="00456B13"/>
    <w:rsid w:val="00456BDE"/>
    <w:rsid w:val="00457209"/>
    <w:rsid w:val="004572A8"/>
    <w:rsid w:val="00457EC6"/>
    <w:rsid w:val="0046086B"/>
    <w:rsid w:val="00460EDA"/>
    <w:rsid w:val="00460FCA"/>
    <w:rsid w:val="00461075"/>
    <w:rsid w:val="00461BAA"/>
    <w:rsid w:val="0046252D"/>
    <w:rsid w:val="0046255C"/>
    <w:rsid w:val="00462718"/>
    <w:rsid w:val="004627BE"/>
    <w:rsid w:val="0046295B"/>
    <w:rsid w:val="00464803"/>
    <w:rsid w:val="0046591F"/>
    <w:rsid w:val="00465C61"/>
    <w:rsid w:val="00466FC6"/>
    <w:rsid w:val="00467610"/>
    <w:rsid w:val="004679BE"/>
    <w:rsid w:val="00470238"/>
    <w:rsid w:val="00470A7C"/>
    <w:rsid w:val="00470CF0"/>
    <w:rsid w:val="00470DA6"/>
    <w:rsid w:val="0047199B"/>
    <w:rsid w:val="00472D90"/>
    <w:rsid w:val="00473B38"/>
    <w:rsid w:val="0047443A"/>
    <w:rsid w:val="00474499"/>
    <w:rsid w:val="0047485C"/>
    <w:rsid w:val="00474B48"/>
    <w:rsid w:val="0047580C"/>
    <w:rsid w:val="00475C94"/>
    <w:rsid w:val="00475CD0"/>
    <w:rsid w:val="004762E0"/>
    <w:rsid w:val="00476703"/>
    <w:rsid w:val="004769E4"/>
    <w:rsid w:val="004772C8"/>
    <w:rsid w:val="00477422"/>
    <w:rsid w:val="004778A6"/>
    <w:rsid w:val="004801D5"/>
    <w:rsid w:val="00480B3E"/>
    <w:rsid w:val="00480B84"/>
    <w:rsid w:val="00480F2A"/>
    <w:rsid w:val="00480FF2"/>
    <w:rsid w:val="00481514"/>
    <w:rsid w:val="00481B7A"/>
    <w:rsid w:val="00481CEC"/>
    <w:rsid w:val="00482897"/>
    <w:rsid w:val="00482968"/>
    <w:rsid w:val="00482A46"/>
    <w:rsid w:val="00482C6F"/>
    <w:rsid w:val="0048337E"/>
    <w:rsid w:val="004837BD"/>
    <w:rsid w:val="0048416B"/>
    <w:rsid w:val="004845E1"/>
    <w:rsid w:val="00485389"/>
    <w:rsid w:val="00485B80"/>
    <w:rsid w:val="00485E48"/>
    <w:rsid w:val="004860CC"/>
    <w:rsid w:val="00486C94"/>
    <w:rsid w:val="00486E45"/>
    <w:rsid w:val="00490618"/>
    <w:rsid w:val="0049072F"/>
    <w:rsid w:val="00490AAD"/>
    <w:rsid w:val="00490C73"/>
    <w:rsid w:val="00490F60"/>
    <w:rsid w:val="00492439"/>
    <w:rsid w:val="00492BB1"/>
    <w:rsid w:val="0049319F"/>
    <w:rsid w:val="00496670"/>
    <w:rsid w:val="0049697B"/>
    <w:rsid w:val="00496E60"/>
    <w:rsid w:val="00497251"/>
    <w:rsid w:val="0049775A"/>
    <w:rsid w:val="0049781C"/>
    <w:rsid w:val="004A0DA4"/>
    <w:rsid w:val="004A1938"/>
    <w:rsid w:val="004A1C32"/>
    <w:rsid w:val="004A293D"/>
    <w:rsid w:val="004A2CDB"/>
    <w:rsid w:val="004A2E56"/>
    <w:rsid w:val="004A3AAF"/>
    <w:rsid w:val="004A4572"/>
    <w:rsid w:val="004A4727"/>
    <w:rsid w:val="004A4C55"/>
    <w:rsid w:val="004A577E"/>
    <w:rsid w:val="004A6055"/>
    <w:rsid w:val="004A60CF"/>
    <w:rsid w:val="004A6534"/>
    <w:rsid w:val="004A680B"/>
    <w:rsid w:val="004A6EDA"/>
    <w:rsid w:val="004A7371"/>
    <w:rsid w:val="004A797B"/>
    <w:rsid w:val="004B1851"/>
    <w:rsid w:val="004B1F2E"/>
    <w:rsid w:val="004B21AB"/>
    <w:rsid w:val="004B2411"/>
    <w:rsid w:val="004B28A3"/>
    <w:rsid w:val="004B4151"/>
    <w:rsid w:val="004B5110"/>
    <w:rsid w:val="004B54D9"/>
    <w:rsid w:val="004B5950"/>
    <w:rsid w:val="004B5B8F"/>
    <w:rsid w:val="004B6841"/>
    <w:rsid w:val="004B7A10"/>
    <w:rsid w:val="004B7FC1"/>
    <w:rsid w:val="004C0DC5"/>
    <w:rsid w:val="004C21C1"/>
    <w:rsid w:val="004C23E6"/>
    <w:rsid w:val="004C2C37"/>
    <w:rsid w:val="004C351E"/>
    <w:rsid w:val="004C3C71"/>
    <w:rsid w:val="004C4002"/>
    <w:rsid w:val="004C4858"/>
    <w:rsid w:val="004C53CE"/>
    <w:rsid w:val="004C5DF1"/>
    <w:rsid w:val="004C5EAC"/>
    <w:rsid w:val="004C5FEC"/>
    <w:rsid w:val="004C66E9"/>
    <w:rsid w:val="004C67B4"/>
    <w:rsid w:val="004C6BF0"/>
    <w:rsid w:val="004C76DE"/>
    <w:rsid w:val="004C76FF"/>
    <w:rsid w:val="004C7ED7"/>
    <w:rsid w:val="004D01B7"/>
    <w:rsid w:val="004D02BF"/>
    <w:rsid w:val="004D07DD"/>
    <w:rsid w:val="004D114C"/>
    <w:rsid w:val="004D199D"/>
    <w:rsid w:val="004D26BA"/>
    <w:rsid w:val="004D3207"/>
    <w:rsid w:val="004D343D"/>
    <w:rsid w:val="004D42FC"/>
    <w:rsid w:val="004D4FF3"/>
    <w:rsid w:val="004D511E"/>
    <w:rsid w:val="004D5750"/>
    <w:rsid w:val="004D593E"/>
    <w:rsid w:val="004D59E3"/>
    <w:rsid w:val="004D5D93"/>
    <w:rsid w:val="004D60BA"/>
    <w:rsid w:val="004D6234"/>
    <w:rsid w:val="004D6B85"/>
    <w:rsid w:val="004D6BBF"/>
    <w:rsid w:val="004D6DA3"/>
    <w:rsid w:val="004D7927"/>
    <w:rsid w:val="004D7EC5"/>
    <w:rsid w:val="004D7FE3"/>
    <w:rsid w:val="004E0C7B"/>
    <w:rsid w:val="004E0EE5"/>
    <w:rsid w:val="004E11E4"/>
    <w:rsid w:val="004E1EC9"/>
    <w:rsid w:val="004E26F0"/>
    <w:rsid w:val="004E29F4"/>
    <w:rsid w:val="004E2B8E"/>
    <w:rsid w:val="004E3458"/>
    <w:rsid w:val="004E3967"/>
    <w:rsid w:val="004E3B21"/>
    <w:rsid w:val="004E42FE"/>
    <w:rsid w:val="004E4402"/>
    <w:rsid w:val="004E49FE"/>
    <w:rsid w:val="004E4A00"/>
    <w:rsid w:val="004E531A"/>
    <w:rsid w:val="004E5617"/>
    <w:rsid w:val="004E5B95"/>
    <w:rsid w:val="004E609F"/>
    <w:rsid w:val="004E7010"/>
    <w:rsid w:val="004E79D4"/>
    <w:rsid w:val="004E7DBC"/>
    <w:rsid w:val="004F0495"/>
    <w:rsid w:val="004F06FF"/>
    <w:rsid w:val="004F13D8"/>
    <w:rsid w:val="004F1740"/>
    <w:rsid w:val="004F20EB"/>
    <w:rsid w:val="004F2300"/>
    <w:rsid w:val="004F23AF"/>
    <w:rsid w:val="004F257E"/>
    <w:rsid w:val="004F25E6"/>
    <w:rsid w:val="004F26DC"/>
    <w:rsid w:val="004F28DD"/>
    <w:rsid w:val="004F2D9E"/>
    <w:rsid w:val="004F33EB"/>
    <w:rsid w:val="004F3BB9"/>
    <w:rsid w:val="004F3BDE"/>
    <w:rsid w:val="004F3EE6"/>
    <w:rsid w:val="004F4683"/>
    <w:rsid w:val="004F47B0"/>
    <w:rsid w:val="004F5697"/>
    <w:rsid w:val="004F572B"/>
    <w:rsid w:val="004F5A6E"/>
    <w:rsid w:val="004F6483"/>
    <w:rsid w:val="004F71A3"/>
    <w:rsid w:val="004F7CE3"/>
    <w:rsid w:val="0050024D"/>
    <w:rsid w:val="00501157"/>
    <w:rsid w:val="00501681"/>
    <w:rsid w:val="005017EF"/>
    <w:rsid w:val="00501AD4"/>
    <w:rsid w:val="00502435"/>
    <w:rsid w:val="00502504"/>
    <w:rsid w:val="0050250F"/>
    <w:rsid w:val="00502662"/>
    <w:rsid w:val="00502757"/>
    <w:rsid w:val="00502904"/>
    <w:rsid w:val="00502CA7"/>
    <w:rsid w:val="00502F6E"/>
    <w:rsid w:val="00503455"/>
    <w:rsid w:val="00503B70"/>
    <w:rsid w:val="00504041"/>
    <w:rsid w:val="005048B0"/>
    <w:rsid w:val="00504F95"/>
    <w:rsid w:val="00505112"/>
    <w:rsid w:val="00505671"/>
    <w:rsid w:val="0050582B"/>
    <w:rsid w:val="00506755"/>
    <w:rsid w:val="00506861"/>
    <w:rsid w:val="00506BF5"/>
    <w:rsid w:val="00507527"/>
    <w:rsid w:val="00507530"/>
    <w:rsid w:val="005108E1"/>
    <w:rsid w:val="00511BB6"/>
    <w:rsid w:val="00511C52"/>
    <w:rsid w:val="00512084"/>
    <w:rsid w:val="005124B3"/>
    <w:rsid w:val="005138BA"/>
    <w:rsid w:val="00514AF4"/>
    <w:rsid w:val="00514C6A"/>
    <w:rsid w:val="0051501B"/>
    <w:rsid w:val="00515252"/>
    <w:rsid w:val="005169DE"/>
    <w:rsid w:val="00516BA9"/>
    <w:rsid w:val="00517DC8"/>
    <w:rsid w:val="0052098D"/>
    <w:rsid w:val="00520BCB"/>
    <w:rsid w:val="00520E35"/>
    <w:rsid w:val="005210CF"/>
    <w:rsid w:val="00521FD5"/>
    <w:rsid w:val="005223F4"/>
    <w:rsid w:val="0052269E"/>
    <w:rsid w:val="00523065"/>
    <w:rsid w:val="0052346C"/>
    <w:rsid w:val="005236BD"/>
    <w:rsid w:val="0052468C"/>
    <w:rsid w:val="00524AA2"/>
    <w:rsid w:val="00524C17"/>
    <w:rsid w:val="0052514A"/>
    <w:rsid w:val="005254CB"/>
    <w:rsid w:val="00525A71"/>
    <w:rsid w:val="005266CA"/>
    <w:rsid w:val="00526B44"/>
    <w:rsid w:val="0053022C"/>
    <w:rsid w:val="00530330"/>
    <w:rsid w:val="0053055A"/>
    <w:rsid w:val="00530761"/>
    <w:rsid w:val="00530843"/>
    <w:rsid w:val="00530A32"/>
    <w:rsid w:val="005313AC"/>
    <w:rsid w:val="005318D0"/>
    <w:rsid w:val="005320B7"/>
    <w:rsid w:val="00532354"/>
    <w:rsid w:val="00532988"/>
    <w:rsid w:val="00532C1D"/>
    <w:rsid w:val="00532D36"/>
    <w:rsid w:val="0053326C"/>
    <w:rsid w:val="00534B85"/>
    <w:rsid w:val="0053515B"/>
    <w:rsid w:val="00536005"/>
    <w:rsid w:val="005360FD"/>
    <w:rsid w:val="005368B4"/>
    <w:rsid w:val="005368D7"/>
    <w:rsid w:val="0053731C"/>
    <w:rsid w:val="005405B9"/>
    <w:rsid w:val="00540941"/>
    <w:rsid w:val="0054136B"/>
    <w:rsid w:val="00541BDF"/>
    <w:rsid w:val="005421BF"/>
    <w:rsid w:val="005428CB"/>
    <w:rsid w:val="005429BF"/>
    <w:rsid w:val="00542FAD"/>
    <w:rsid w:val="005437EB"/>
    <w:rsid w:val="00543A96"/>
    <w:rsid w:val="00543B06"/>
    <w:rsid w:val="00544041"/>
    <w:rsid w:val="005445D6"/>
    <w:rsid w:val="00545019"/>
    <w:rsid w:val="005456F2"/>
    <w:rsid w:val="00545C75"/>
    <w:rsid w:val="005471C4"/>
    <w:rsid w:val="005477F0"/>
    <w:rsid w:val="00550159"/>
    <w:rsid w:val="005509C2"/>
    <w:rsid w:val="00551148"/>
    <w:rsid w:val="005514B5"/>
    <w:rsid w:val="0055245A"/>
    <w:rsid w:val="00552859"/>
    <w:rsid w:val="00553403"/>
    <w:rsid w:val="0055477E"/>
    <w:rsid w:val="0055503B"/>
    <w:rsid w:val="0055518A"/>
    <w:rsid w:val="00555A35"/>
    <w:rsid w:val="00555D7D"/>
    <w:rsid w:val="005562D2"/>
    <w:rsid w:val="00556DC6"/>
    <w:rsid w:val="00557768"/>
    <w:rsid w:val="0056048C"/>
    <w:rsid w:val="00560F88"/>
    <w:rsid w:val="00561A7B"/>
    <w:rsid w:val="00562A92"/>
    <w:rsid w:val="005631B9"/>
    <w:rsid w:val="00564252"/>
    <w:rsid w:val="00564389"/>
    <w:rsid w:val="00564F6F"/>
    <w:rsid w:val="005650AF"/>
    <w:rsid w:val="005651BD"/>
    <w:rsid w:val="0056648D"/>
    <w:rsid w:val="00566509"/>
    <w:rsid w:val="0056753A"/>
    <w:rsid w:val="00570196"/>
    <w:rsid w:val="005701E3"/>
    <w:rsid w:val="00570C85"/>
    <w:rsid w:val="00571CCD"/>
    <w:rsid w:val="00571FC5"/>
    <w:rsid w:val="00572CC8"/>
    <w:rsid w:val="00572E3F"/>
    <w:rsid w:val="00573AF2"/>
    <w:rsid w:val="00573BD4"/>
    <w:rsid w:val="00573D85"/>
    <w:rsid w:val="00573EDF"/>
    <w:rsid w:val="00574017"/>
    <w:rsid w:val="005751CB"/>
    <w:rsid w:val="00575939"/>
    <w:rsid w:val="00576456"/>
    <w:rsid w:val="00576E97"/>
    <w:rsid w:val="00576F83"/>
    <w:rsid w:val="00577683"/>
    <w:rsid w:val="00577C2B"/>
    <w:rsid w:val="00577F61"/>
    <w:rsid w:val="005801C9"/>
    <w:rsid w:val="005802B7"/>
    <w:rsid w:val="005804E2"/>
    <w:rsid w:val="005809FF"/>
    <w:rsid w:val="00580A45"/>
    <w:rsid w:val="00581D8E"/>
    <w:rsid w:val="00581E9A"/>
    <w:rsid w:val="00582693"/>
    <w:rsid w:val="00582FA8"/>
    <w:rsid w:val="00583B75"/>
    <w:rsid w:val="00583D85"/>
    <w:rsid w:val="00584573"/>
    <w:rsid w:val="00584765"/>
    <w:rsid w:val="00585D2C"/>
    <w:rsid w:val="005866C8"/>
    <w:rsid w:val="00587396"/>
    <w:rsid w:val="00587F8E"/>
    <w:rsid w:val="00590D60"/>
    <w:rsid w:val="00590E25"/>
    <w:rsid w:val="0059183F"/>
    <w:rsid w:val="00591C2D"/>
    <w:rsid w:val="005921B1"/>
    <w:rsid w:val="00592716"/>
    <w:rsid w:val="00592C0A"/>
    <w:rsid w:val="00593908"/>
    <w:rsid w:val="0059422F"/>
    <w:rsid w:val="005956C0"/>
    <w:rsid w:val="00595817"/>
    <w:rsid w:val="0059587F"/>
    <w:rsid w:val="00595F1E"/>
    <w:rsid w:val="00595F78"/>
    <w:rsid w:val="005960B0"/>
    <w:rsid w:val="00596228"/>
    <w:rsid w:val="00596C35"/>
    <w:rsid w:val="00596D58"/>
    <w:rsid w:val="0059767C"/>
    <w:rsid w:val="005A00A7"/>
    <w:rsid w:val="005A030B"/>
    <w:rsid w:val="005A070A"/>
    <w:rsid w:val="005A0BC4"/>
    <w:rsid w:val="005A0E3E"/>
    <w:rsid w:val="005A136F"/>
    <w:rsid w:val="005A1446"/>
    <w:rsid w:val="005A1E3E"/>
    <w:rsid w:val="005A1F75"/>
    <w:rsid w:val="005A211E"/>
    <w:rsid w:val="005A34A1"/>
    <w:rsid w:val="005A3918"/>
    <w:rsid w:val="005A3C90"/>
    <w:rsid w:val="005A4033"/>
    <w:rsid w:val="005A47A2"/>
    <w:rsid w:val="005A4F34"/>
    <w:rsid w:val="005A52F5"/>
    <w:rsid w:val="005A5837"/>
    <w:rsid w:val="005A620F"/>
    <w:rsid w:val="005A65EE"/>
    <w:rsid w:val="005A68F9"/>
    <w:rsid w:val="005A6A95"/>
    <w:rsid w:val="005A6DD6"/>
    <w:rsid w:val="005A6FB2"/>
    <w:rsid w:val="005A7158"/>
    <w:rsid w:val="005A7E46"/>
    <w:rsid w:val="005A7F9F"/>
    <w:rsid w:val="005B0696"/>
    <w:rsid w:val="005B0888"/>
    <w:rsid w:val="005B0B2A"/>
    <w:rsid w:val="005B0CBE"/>
    <w:rsid w:val="005B1479"/>
    <w:rsid w:val="005B19E4"/>
    <w:rsid w:val="005B220B"/>
    <w:rsid w:val="005B34A8"/>
    <w:rsid w:val="005B3695"/>
    <w:rsid w:val="005B37DB"/>
    <w:rsid w:val="005B3EF1"/>
    <w:rsid w:val="005B3FBA"/>
    <w:rsid w:val="005B4204"/>
    <w:rsid w:val="005B4607"/>
    <w:rsid w:val="005B5BFA"/>
    <w:rsid w:val="005B5FB1"/>
    <w:rsid w:val="005B6211"/>
    <w:rsid w:val="005B6824"/>
    <w:rsid w:val="005B73E2"/>
    <w:rsid w:val="005B7CEA"/>
    <w:rsid w:val="005C0574"/>
    <w:rsid w:val="005C111F"/>
    <w:rsid w:val="005C20F1"/>
    <w:rsid w:val="005C2543"/>
    <w:rsid w:val="005C3144"/>
    <w:rsid w:val="005C4649"/>
    <w:rsid w:val="005C46E5"/>
    <w:rsid w:val="005C5C74"/>
    <w:rsid w:val="005C5FA5"/>
    <w:rsid w:val="005C7498"/>
    <w:rsid w:val="005C7648"/>
    <w:rsid w:val="005C7B8E"/>
    <w:rsid w:val="005D033D"/>
    <w:rsid w:val="005D26AD"/>
    <w:rsid w:val="005D2A48"/>
    <w:rsid w:val="005D3B9E"/>
    <w:rsid w:val="005D4527"/>
    <w:rsid w:val="005D4E34"/>
    <w:rsid w:val="005D5433"/>
    <w:rsid w:val="005D5485"/>
    <w:rsid w:val="005D612D"/>
    <w:rsid w:val="005D66D7"/>
    <w:rsid w:val="005D69CE"/>
    <w:rsid w:val="005D789A"/>
    <w:rsid w:val="005D79AD"/>
    <w:rsid w:val="005D7D3B"/>
    <w:rsid w:val="005D7F67"/>
    <w:rsid w:val="005E0383"/>
    <w:rsid w:val="005E07C4"/>
    <w:rsid w:val="005E0DAE"/>
    <w:rsid w:val="005E1B14"/>
    <w:rsid w:val="005E1BF9"/>
    <w:rsid w:val="005E1F00"/>
    <w:rsid w:val="005E1F9E"/>
    <w:rsid w:val="005E3595"/>
    <w:rsid w:val="005E3D00"/>
    <w:rsid w:val="005E4701"/>
    <w:rsid w:val="005E4BFB"/>
    <w:rsid w:val="005E5F06"/>
    <w:rsid w:val="005E6167"/>
    <w:rsid w:val="005E645D"/>
    <w:rsid w:val="005E6591"/>
    <w:rsid w:val="005E72C4"/>
    <w:rsid w:val="005E7DB3"/>
    <w:rsid w:val="005E7E36"/>
    <w:rsid w:val="005F0B3F"/>
    <w:rsid w:val="005F1D5A"/>
    <w:rsid w:val="005F28A8"/>
    <w:rsid w:val="005F2B39"/>
    <w:rsid w:val="005F3309"/>
    <w:rsid w:val="005F435F"/>
    <w:rsid w:val="005F4F38"/>
    <w:rsid w:val="005F555F"/>
    <w:rsid w:val="005F5ADB"/>
    <w:rsid w:val="005F5D15"/>
    <w:rsid w:val="005F5DD8"/>
    <w:rsid w:val="005F6542"/>
    <w:rsid w:val="005F6A19"/>
    <w:rsid w:val="005F6AAD"/>
    <w:rsid w:val="005F6BA5"/>
    <w:rsid w:val="005F6ED5"/>
    <w:rsid w:val="005F7318"/>
    <w:rsid w:val="005F790D"/>
    <w:rsid w:val="005F7D0D"/>
    <w:rsid w:val="0060024C"/>
    <w:rsid w:val="00600733"/>
    <w:rsid w:val="00600C14"/>
    <w:rsid w:val="00600ED1"/>
    <w:rsid w:val="0060109F"/>
    <w:rsid w:val="006010F1"/>
    <w:rsid w:val="006013C3"/>
    <w:rsid w:val="00601628"/>
    <w:rsid w:val="00601738"/>
    <w:rsid w:val="00601B4A"/>
    <w:rsid w:val="00602201"/>
    <w:rsid w:val="00602768"/>
    <w:rsid w:val="00602AA3"/>
    <w:rsid w:val="00602C93"/>
    <w:rsid w:val="006030DB"/>
    <w:rsid w:val="00603C58"/>
    <w:rsid w:val="00604051"/>
    <w:rsid w:val="006045CE"/>
    <w:rsid w:val="006051F4"/>
    <w:rsid w:val="006052B3"/>
    <w:rsid w:val="006053C8"/>
    <w:rsid w:val="00606365"/>
    <w:rsid w:val="0060672A"/>
    <w:rsid w:val="006101B3"/>
    <w:rsid w:val="00610D4B"/>
    <w:rsid w:val="006116C8"/>
    <w:rsid w:val="00612E60"/>
    <w:rsid w:val="006135D4"/>
    <w:rsid w:val="00613BCE"/>
    <w:rsid w:val="00613C71"/>
    <w:rsid w:val="00614A4C"/>
    <w:rsid w:val="00614BB9"/>
    <w:rsid w:val="0061508A"/>
    <w:rsid w:val="00615448"/>
    <w:rsid w:val="00615E5C"/>
    <w:rsid w:val="00616443"/>
    <w:rsid w:val="00616F10"/>
    <w:rsid w:val="00623263"/>
    <w:rsid w:val="006249FF"/>
    <w:rsid w:val="00625860"/>
    <w:rsid w:val="00625935"/>
    <w:rsid w:val="00625986"/>
    <w:rsid w:val="00625C3A"/>
    <w:rsid w:val="00625EFA"/>
    <w:rsid w:val="00625FC9"/>
    <w:rsid w:val="00627278"/>
    <w:rsid w:val="00627A84"/>
    <w:rsid w:val="00627A88"/>
    <w:rsid w:val="0063012C"/>
    <w:rsid w:val="00630E89"/>
    <w:rsid w:val="006312CF"/>
    <w:rsid w:val="00631693"/>
    <w:rsid w:val="0063183C"/>
    <w:rsid w:val="00632154"/>
    <w:rsid w:val="00632E6C"/>
    <w:rsid w:val="0063354D"/>
    <w:rsid w:val="00633A12"/>
    <w:rsid w:val="00634816"/>
    <w:rsid w:val="00634B46"/>
    <w:rsid w:val="00634D2F"/>
    <w:rsid w:val="0063518F"/>
    <w:rsid w:val="00635E0E"/>
    <w:rsid w:val="006363BE"/>
    <w:rsid w:val="0063669F"/>
    <w:rsid w:val="00636AD0"/>
    <w:rsid w:val="00636D42"/>
    <w:rsid w:val="00636EFA"/>
    <w:rsid w:val="00637CCB"/>
    <w:rsid w:val="00637E80"/>
    <w:rsid w:val="00637EC2"/>
    <w:rsid w:val="00640481"/>
    <w:rsid w:val="00640F35"/>
    <w:rsid w:val="0064155E"/>
    <w:rsid w:val="006418D8"/>
    <w:rsid w:val="00641921"/>
    <w:rsid w:val="00641E60"/>
    <w:rsid w:val="00641F34"/>
    <w:rsid w:val="006426BE"/>
    <w:rsid w:val="006431A1"/>
    <w:rsid w:val="00643686"/>
    <w:rsid w:val="006437C7"/>
    <w:rsid w:val="0064397E"/>
    <w:rsid w:val="0064416B"/>
    <w:rsid w:val="00645782"/>
    <w:rsid w:val="00646AB1"/>
    <w:rsid w:val="006475FE"/>
    <w:rsid w:val="0064765C"/>
    <w:rsid w:val="00647961"/>
    <w:rsid w:val="00647C65"/>
    <w:rsid w:val="00647F48"/>
    <w:rsid w:val="006505F2"/>
    <w:rsid w:val="00650ED7"/>
    <w:rsid w:val="00651097"/>
    <w:rsid w:val="00651E6A"/>
    <w:rsid w:val="00651EE2"/>
    <w:rsid w:val="00652ABE"/>
    <w:rsid w:val="0065302E"/>
    <w:rsid w:val="00655A46"/>
    <w:rsid w:val="00655A95"/>
    <w:rsid w:val="00655AD6"/>
    <w:rsid w:val="006561AB"/>
    <w:rsid w:val="00656254"/>
    <w:rsid w:val="00656B21"/>
    <w:rsid w:val="00656C7B"/>
    <w:rsid w:val="00657B67"/>
    <w:rsid w:val="006609F3"/>
    <w:rsid w:val="006615E3"/>
    <w:rsid w:val="00662797"/>
    <w:rsid w:val="00662994"/>
    <w:rsid w:val="006634F9"/>
    <w:rsid w:val="006648D6"/>
    <w:rsid w:val="00664978"/>
    <w:rsid w:val="00664D20"/>
    <w:rsid w:val="00664FDA"/>
    <w:rsid w:val="006653B2"/>
    <w:rsid w:val="00665BBE"/>
    <w:rsid w:val="00666B0C"/>
    <w:rsid w:val="00666B21"/>
    <w:rsid w:val="00666BE6"/>
    <w:rsid w:val="0066732D"/>
    <w:rsid w:val="006675AA"/>
    <w:rsid w:val="00667871"/>
    <w:rsid w:val="00667B2E"/>
    <w:rsid w:val="00667BD2"/>
    <w:rsid w:val="00670658"/>
    <w:rsid w:val="00670C45"/>
    <w:rsid w:val="00671A0C"/>
    <w:rsid w:val="00671FC8"/>
    <w:rsid w:val="006730AE"/>
    <w:rsid w:val="00673511"/>
    <w:rsid w:val="0067463A"/>
    <w:rsid w:val="00675C39"/>
    <w:rsid w:val="00675E9C"/>
    <w:rsid w:val="00675F44"/>
    <w:rsid w:val="00676357"/>
    <w:rsid w:val="006763A5"/>
    <w:rsid w:val="00676E25"/>
    <w:rsid w:val="00677458"/>
    <w:rsid w:val="00680FB9"/>
    <w:rsid w:val="00682ACE"/>
    <w:rsid w:val="0068533E"/>
    <w:rsid w:val="00685A8B"/>
    <w:rsid w:val="006861D1"/>
    <w:rsid w:val="0068661D"/>
    <w:rsid w:val="00686A1D"/>
    <w:rsid w:val="00686B90"/>
    <w:rsid w:val="00686F4D"/>
    <w:rsid w:val="0068710D"/>
    <w:rsid w:val="006872A4"/>
    <w:rsid w:val="00687DC6"/>
    <w:rsid w:val="006905D7"/>
    <w:rsid w:val="00690F3D"/>
    <w:rsid w:val="006922FD"/>
    <w:rsid w:val="00692463"/>
    <w:rsid w:val="0069272F"/>
    <w:rsid w:val="00692A91"/>
    <w:rsid w:val="006934A4"/>
    <w:rsid w:val="006943D5"/>
    <w:rsid w:val="0069454C"/>
    <w:rsid w:val="00694EB8"/>
    <w:rsid w:val="00695037"/>
    <w:rsid w:val="006956C3"/>
    <w:rsid w:val="0069573E"/>
    <w:rsid w:val="0069603A"/>
    <w:rsid w:val="0069608C"/>
    <w:rsid w:val="0069651E"/>
    <w:rsid w:val="006971DC"/>
    <w:rsid w:val="00697E20"/>
    <w:rsid w:val="00697FB1"/>
    <w:rsid w:val="006A10B7"/>
    <w:rsid w:val="006A19A1"/>
    <w:rsid w:val="006A2796"/>
    <w:rsid w:val="006A27D1"/>
    <w:rsid w:val="006A3520"/>
    <w:rsid w:val="006A386C"/>
    <w:rsid w:val="006A49F6"/>
    <w:rsid w:val="006A505E"/>
    <w:rsid w:val="006A5220"/>
    <w:rsid w:val="006A52D2"/>
    <w:rsid w:val="006A53AC"/>
    <w:rsid w:val="006A5570"/>
    <w:rsid w:val="006A65B1"/>
    <w:rsid w:val="006A669D"/>
    <w:rsid w:val="006A67A2"/>
    <w:rsid w:val="006A6F23"/>
    <w:rsid w:val="006A7067"/>
    <w:rsid w:val="006A742B"/>
    <w:rsid w:val="006B0126"/>
    <w:rsid w:val="006B048E"/>
    <w:rsid w:val="006B0936"/>
    <w:rsid w:val="006B0978"/>
    <w:rsid w:val="006B0FAD"/>
    <w:rsid w:val="006B1D86"/>
    <w:rsid w:val="006B33BC"/>
    <w:rsid w:val="006B3726"/>
    <w:rsid w:val="006B42DA"/>
    <w:rsid w:val="006B44D3"/>
    <w:rsid w:val="006B4B26"/>
    <w:rsid w:val="006B52E0"/>
    <w:rsid w:val="006B5C37"/>
    <w:rsid w:val="006B6138"/>
    <w:rsid w:val="006B6599"/>
    <w:rsid w:val="006B6770"/>
    <w:rsid w:val="006C024A"/>
    <w:rsid w:val="006C1702"/>
    <w:rsid w:val="006C1D42"/>
    <w:rsid w:val="006C23B5"/>
    <w:rsid w:val="006C2E26"/>
    <w:rsid w:val="006C35FC"/>
    <w:rsid w:val="006C3E70"/>
    <w:rsid w:val="006C52FF"/>
    <w:rsid w:val="006C5352"/>
    <w:rsid w:val="006C5420"/>
    <w:rsid w:val="006C5ADA"/>
    <w:rsid w:val="006C5E00"/>
    <w:rsid w:val="006C6854"/>
    <w:rsid w:val="006C6A87"/>
    <w:rsid w:val="006C7484"/>
    <w:rsid w:val="006C7503"/>
    <w:rsid w:val="006D00EF"/>
    <w:rsid w:val="006D0461"/>
    <w:rsid w:val="006D0698"/>
    <w:rsid w:val="006D07B6"/>
    <w:rsid w:val="006D1567"/>
    <w:rsid w:val="006D170A"/>
    <w:rsid w:val="006D17B1"/>
    <w:rsid w:val="006D215E"/>
    <w:rsid w:val="006D2961"/>
    <w:rsid w:val="006D342C"/>
    <w:rsid w:val="006D392B"/>
    <w:rsid w:val="006D3B84"/>
    <w:rsid w:val="006D3E06"/>
    <w:rsid w:val="006D4699"/>
    <w:rsid w:val="006D56D8"/>
    <w:rsid w:val="006D6509"/>
    <w:rsid w:val="006D7143"/>
    <w:rsid w:val="006D7B49"/>
    <w:rsid w:val="006E00E3"/>
    <w:rsid w:val="006E0F57"/>
    <w:rsid w:val="006E13BD"/>
    <w:rsid w:val="006E18EB"/>
    <w:rsid w:val="006E27B2"/>
    <w:rsid w:val="006E2C6D"/>
    <w:rsid w:val="006E30DB"/>
    <w:rsid w:val="006E30E7"/>
    <w:rsid w:val="006E3AD6"/>
    <w:rsid w:val="006E4319"/>
    <w:rsid w:val="006E5E08"/>
    <w:rsid w:val="006E6265"/>
    <w:rsid w:val="006E7042"/>
    <w:rsid w:val="006E7BC9"/>
    <w:rsid w:val="006E7F14"/>
    <w:rsid w:val="006E7F19"/>
    <w:rsid w:val="006F08B4"/>
    <w:rsid w:val="006F0D40"/>
    <w:rsid w:val="006F1555"/>
    <w:rsid w:val="006F24B2"/>
    <w:rsid w:val="006F35AE"/>
    <w:rsid w:val="006F404F"/>
    <w:rsid w:val="006F44C1"/>
    <w:rsid w:val="006F49D2"/>
    <w:rsid w:val="006F6187"/>
    <w:rsid w:val="0070025F"/>
    <w:rsid w:val="007002FC"/>
    <w:rsid w:val="0070254A"/>
    <w:rsid w:val="00704E5E"/>
    <w:rsid w:val="00705224"/>
    <w:rsid w:val="00705704"/>
    <w:rsid w:val="0070588C"/>
    <w:rsid w:val="00705A6B"/>
    <w:rsid w:val="00706172"/>
    <w:rsid w:val="00706863"/>
    <w:rsid w:val="00706ADE"/>
    <w:rsid w:val="0070773F"/>
    <w:rsid w:val="00707B66"/>
    <w:rsid w:val="00707C1E"/>
    <w:rsid w:val="0071032A"/>
    <w:rsid w:val="00710A53"/>
    <w:rsid w:val="00710E7E"/>
    <w:rsid w:val="00711B86"/>
    <w:rsid w:val="007120AB"/>
    <w:rsid w:val="00712C87"/>
    <w:rsid w:val="00712E70"/>
    <w:rsid w:val="00713278"/>
    <w:rsid w:val="007133C3"/>
    <w:rsid w:val="0071394D"/>
    <w:rsid w:val="00713A39"/>
    <w:rsid w:val="00713A5D"/>
    <w:rsid w:val="00713BD6"/>
    <w:rsid w:val="00714195"/>
    <w:rsid w:val="00715A1A"/>
    <w:rsid w:val="00715B12"/>
    <w:rsid w:val="00716435"/>
    <w:rsid w:val="00716E7A"/>
    <w:rsid w:val="00716F24"/>
    <w:rsid w:val="0071712C"/>
    <w:rsid w:val="007176C9"/>
    <w:rsid w:val="00717B77"/>
    <w:rsid w:val="00720321"/>
    <w:rsid w:val="00720F55"/>
    <w:rsid w:val="00721707"/>
    <w:rsid w:val="00721CA8"/>
    <w:rsid w:val="00722128"/>
    <w:rsid w:val="00722F6E"/>
    <w:rsid w:val="00723440"/>
    <w:rsid w:val="00723A3B"/>
    <w:rsid w:val="0072430B"/>
    <w:rsid w:val="007253A6"/>
    <w:rsid w:val="00725D3D"/>
    <w:rsid w:val="00726BD8"/>
    <w:rsid w:val="007272D1"/>
    <w:rsid w:val="00727F9E"/>
    <w:rsid w:val="00732973"/>
    <w:rsid w:val="00732B5A"/>
    <w:rsid w:val="00732EF9"/>
    <w:rsid w:val="00732FF6"/>
    <w:rsid w:val="00733898"/>
    <w:rsid w:val="00733F9D"/>
    <w:rsid w:val="00734DD9"/>
    <w:rsid w:val="0073560D"/>
    <w:rsid w:val="00735695"/>
    <w:rsid w:val="00736073"/>
    <w:rsid w:val="007365A1"/>
    <w:rsid w:val="007365B8"/>
    <w:rsid w:val="00737502"/>
    <w:rsid w:val="007375D1"/>
    <w:rsid w:val="0073790D"/>
    <w:rsid w:val="00740ED5"/>
    <w:rsid w:val="00741546"/>
    <w:rsid w:val="00741E15"/>
    <w:rsid w:val="00741EA8"/>
    <w:rsid w:val="0074261E"/>
    <w:rsid w:val="00743889"/>
    <w:rsid w:val="0074389F"/>
    <w:rsid w:val="00743902"/>
    <w:rsid w:val="0074451C"/>
    <w:rsid w:val="007446E0"/>
    <w:rsid w:val="00744D3A"/>
    <w:rsid w:val="00744D81"/>
    <w:rsid w:val="00744E81"/>
    <w:rsid w:val="00745FE1"/>
    <w:rsid w:val="00746AAF"/>
    <w:rsid w:val="00746EC8"/>
    <w:rsid w:val="00747637"/>
    <w:rsid w:val="007511C4"/>
    <w:rsid w:val="007518F8"/>
    <w:rsid w:val="00751DD7"/>
    <w:rsid w:val="00752424"/>
    <w:rsid w:val="0075283E"/>
    <w:rsid w:val="007528D1"/>
    <w:rsid w:val="00753E16"/>
    <w:rsid w:val="00754012"/>
    <w:rsid w:val="007542DA"/>
    <w:rsid w:val="007545E6"/>
    <w:rsid w:val="00754FEF"/>
    <w:rsid w:val="007551BE"/>
    <w:rsid w:val="0075550B"/>
    <w:rsid w:val="00755BD7"/>
    <w:rsid w:val="00755BD9"/>
    <w:rsid w:val="007568A0"/>
    <w:rsid w:val="007569AC"/>
    <w:rsid w:val="007569B7"/>
    <w:rsid w:val="00757411"/>
    <w:rsid w:val="0075761D"/>
    <w:rsid w:val="00757BF0"/>
    <w:rsid w:val="007619C8"/>
    <w:rsid w:val="007628CD"/>
    <w:rsid w:val="00763072"/>
    <w:rsid w:val="007637E9"/>
    <w:rsid w:val="00763B91"/>
    <w:rsid w:val="00763CB5"/>
    <w:rsid w:val="00763F33"/>
    <w:rsid w:val="007644C7"/>
    <w:rsid w:val="00764635"/>
    <w:rsid w:val="00764A0E"/>
    <w:rsid w:val="00764E83"/>
    <w:rsid w:val="00764FBE"/>
    <w:rsid w:val="00765C95"/>
    <w:rsid w:val="00766472"/>
    <w:rsid w:val="007664D7"/>
    <w:rsid w:val="007666E7"/>
    <w:rsid w:val="0076700A"/>
    <w:rsid w:val="0076723F"/>
    <w:rsid w:val="0077029B"/>
    <w:rsid w:val="00770DC0"/>
    <w:rsid w:val="00772073"/>
    <w:rsid w:val="007721C4"/>
    <w:rsid w:val="007728E0"/>
    <w:rsid w:val="00772AC8"/>
    <w:rsid w:val="00772E35"/>
    <w:rsid w:val="00773097"/>
    <w:rsid w:val="00773CF3"/>
    <w:rsid w:val="00773FE2"/>
    <w:rsid w:val="00774573"/>
    <w:rsid w:val="00774DF7"/>
    <w:rsid w:val="007753C2"/>
    <w:rsid w:val="007757D0"/>
    <w:rsid w:val="00775BD7"/>
    <w:rsid w:val="00775FD1"/>
    <w:rsid w:val="0077615B"/>
    <w:rsid w:val="00776927"/>
    <w:rsid w:val="00776CFA"/>
    <w:rsid w:val="00777855"/>
    <w:rsid w:val="00777F38"/>
    <w:rsid w:val="00780A26"/>
    <w:rsid w:val="0078205C"/>
    <w:rsid w:val="00782487"/>
    <w:rsid w:val="00782D98"/>
    <w:rsid w:val="00782F6C"/>
    <w:rsid w:val="007831D6"/>
    <w:rsid w:val="0078378F"/>
    <w:rsid w:val="00783DF5"/>
    <w:rsid w:val="00784093"/>
    <w:rsid w:val="007850D7"/>
    <w:rsid w:val="00785429"/>
    <w:rsid w:val="007856D8"/>
    <w:rsid w:val="00786031"/>
    <w:rsid w:val="0078766C"/>
    <w:rsid w:val="00787BFF"/>
    <w:rsid w:val="0079050D"/>
    <w:rsid w:val="007916B7"/>
    <w:rsid w:val="00791990"/>
    <w:rsid w:val="00791D1C"/>
    <w:rsid w:val="007925C5"/>
    <w:rsid w:val="0079261F"/>
    <w:rsid w:val="00792DA2"/>
    <w:rsid w:val="00793073"/>
    <w:rsid w:val="007937AF"/>
    <w:rsid w:val="007958FC"/>
    <w:rsid w:val="00795C99"/>
    <w:rsid w:val="007971C1"/>
    <w:rsid w:val="007A17D8"/>
    <w:rsid w:val="007A1EE6"/>
    <w:rsid w:val="007A285D"/>
    <w:rsid w:val="007A3A4A"/>
    <w:rsid w:val="007A3DC5"/>
    <w:rsid w:val="007A417C"/>
    <w:rsid w:val="007A4F7C"/>
    <w:rsid w:val="007A53D3"/>
    <w:rsid w:val="007A5D25"/>
    <w:rsid w:val="007A6CFD"/>
    <w:rsid w:val="007A7096"/>
    <w:rsid w:val="007B0370"/>
    <w:rsid w:val="007B0FAA"/>
    <w:rsid w:val="007B132D"/>
    <w:rsid w:val="007B1391"/>
    <w:rsid w:val="007B1D52"/>
    <w:rsid w:val="007B2123"/>
    <w:rsid w:val="007B22C4"/>
    <w:rsid w:val="007B241A"/>
    <w:rsid w:val="007B25B5"/>
    <w:rsid w:val="007B29BE"/>
    <w:rsid w:val="007B304A"/>
    <w:rsid w:val="007B30F8"/>
    <w:rsid w:val="007B33CC"/>
    <w:rsid w:val="007B34E5"/>
    <w:rsid w:val="007B411F"/>
    <w:rsid w:val="007B4193"/>
    <w:rsid w:val="007B43A4"/>
    <w:rsid w:val="007B4F38"/>
    <w:rsid w:val="007B5659"/>
    <w:rsid w:val="007B5B2F"/>
    <w:rsid w:val="007B5BE4"/>
    <w:rsid w:val="007B665C"/>
    <w:rsid w:val="007B7AD7"/>
    <w:rsid w:val="007C0007"/>
    <w:rsid w:val="007C02B4"/>
    <w:rsid w:val="007C03B7"/>
    <w:rsid w:val="007C0997"/>
    <w:rsid w:val="007C2DBA"/>
    <w:rsid w:val="007C2E04"/>
    <w:rsid w:val="007C3FFD"/>
    <w:rsid w:val="007C5A75"/>
    <w:rsid w:val="007C5DDD"/>
    <w:rsid w:val="007C6DE1"/>
    <w:rsid w:val="007D1270"/>
    <w:rsid w:val="007D23B5"/>
    <w:rsid w:val="007D2A62"/>
    <w:rsid w:val="007D42B7"/>
    <w:rsid w:val="007D4F0D"/>
    <w:rsid w:val="007D5623"/>
    <w:rsid w:val="007D5E23"/>
    <w:rsid w:val="007D6C10"/>
    <w:rsid w:val="007D6D94"/>
    <w:rsid w:val="007E0C78"/>
    <w:rsid w:val="007E1D45"/>
    <w:rsid w:val="007E2955"/>
    <w:rsid w:val="007E2B54"/>
    <w:rsid w:val="007E358B"/>
    <w:rsid w:val="007E4350"/>
    <w:rsid w:val="007E47DA"/>
    <w:rsid w:val="007E5010"/>
    <w:rsid w:val="007E5113"/>
    <w:rsid w:val="007E57ED"/>
    <w:rsid w:val="007E5EA0"/>
    <w:rsid w:val="007E678B"/>
    <w:rsid w:val="007F1343"/>
    <w:rsid w:val="007F1963"/>
    <w:rsid w:val="007F1DCC"/>
    <w:rsid w:val="007F2749"/>
    <w:rsid w:val="007F3AB4"/>
    <w:rsid w:val="007F4853"/>
    <w:rsid w:val="007F4C02"/>
    <w:rsid w:val="007F5183"/>
    <w:rsid w:val="007F54B0"/>
    <w:rsid w:val="007F560C"/>
    <w:rsid w:val="007F6163"/>
    <w:rsid w:val="007F6B97"/>
    <w:rsid w:val="0080081C"/>
    <w:rsid w:val="00800BB7"/>
    <w:rsid w:val="00800BE2"/>
    <w:rsid w:val="00800F0F"/>
    <w:rsid w:val="00801DF9"/>
    <w:rsid w:val="00801F16"/>
    <w:rsid w:val="00801FA6"/>
    <w:rsid w:val="0080312B"/>
    <w:rsid w:val="0080477F"/>
    <w:rsid w:val="00804CDD"/>
    <w:rsid w:val="0080509A"/>
    <w:rsid w:val="00805AD7"/>
    <w:rsid w:val="00807418"/>
    <w:rsid w:val="00807DCA"/>
    <w:rsid w:val="00807F6E"/>
    <w:rsid w:val="00810865"/>
    <w:rsid w:val="00810E39"/>
    <w:rsid w:val="00811A45"/>
    <w:rsid w:val="00811AC6"/>
    <w:rsid w:val="00811DF6"/>
    <w:rsid w:val="008120B8"/>
    <w:rsid w:val="00812DD5"/>
    <w:rsid w:val="00813A34"/>
    <w:rsid w:val="00813E9C"/>
    <w:rsid w:val="00814746"/>
    <w:rsid w:val="00814952"/>
    <w:rsid w:val="00815002"/>
    <w:rsid w:val="00815319"/>
    <w:rsid w:val="00816453"/>
    <w:rsid w:val="0081645D"/>
    <w:rsid w:val="00816D33"/>
    <w:rsid w:val="00817304"/>
    <w:rsid w:val="008176D0"/>
    <w:rsid w:val="00817843"/>
    <w:rsid w:val="0082126E"/>
    <w:rsid w:val="0082153D"/>
    <w:rsid w:val="0082291E"/>
    <w:rsid w:val="00822F94"/>
    <w:rsid w:val="00823811"/>
    <w:rsid w:val="008241E6"/>
    <w:rsid w:val="008242BD"/>
    <w:rsid w:val="0082555B"/>
    <w:rsid w:val="00826798"/>
    <w:rsid w:val="00826DCD"/>
    <w:rsid w:val="008273EC"/>
    <w:rsid w:val="0082794B"/>
    <w:rsid w:val="00827BD7"/>
    <w:rsid w:val="00830B8C"/>
    <w:rsid w:val="00830C6D"/>
    <w:rsid w:val="00830F4E"/>
    <w:rsid w:val="008318F8"/>
    <w:rsid w:val="0083213E"/>
    <w:rsid w:val="0083218C"/>
    <w:rsid w:val="00832255"/>
    <w:rsid w:val="0083335C"/>
    <w:rsid w:val="0083346D"/>
    <w:rsid w:val="00834C39"/>
    <w:rsid w:val="00835693"/>
    <w:rsid w:val="00835BD8"/>
    <w:rsid w:val="008362D9"/>
    <w:rsid w:val="0083667C"/>
    <w:rsid w:val="00836A7F"/>
    <w:rsid w:val="00836F33"/>
    <w:rsid w:val="008378D3"/>
    <w:rsid w:val="00840375"/>
    <w:rsid w:val="0084076A"/>
    <w:rsid w:val="00840811"/>
    <w:rsid w:val="00840FBC"/>
    <w:rsid w:val="008411E2"/>
    <w:rsid w:val="008411FB"/>
    <w:rsid w:val="00841D1A"/>
    <w:rsid w:val="0084224B"/>
    <w:rsid w:val="00842A83"/>
    <w:rsid w:val="00843B37"/>
    <w:rsid w:val="00843ECB"/>
    <w:rsid w:val="0084403A"/>
    <w:rsid w:val="008442BB"/>
    <w:rsid w:val="008446D6"/>
    <w:rsid w:val="00845671"/>
    <w:rsid w:val="0084615A"/>
    <w:rsid w:val="0084648D"/>
    <w:rsid w:val="0084662F"/>
    <w:rsid w:val="00847BDF"/>
    <w:rsid w:val="00850CA8"/>
    <w:rsid w:val="00851210"/>
    <w:rsid w:val="008530F9"/>
    <w:rsid w:val="0085460E"/>
    <w:rsid w:val="00854DA5"/>
    <w:rsid w:val="00856940"/>
    <w:rsid w:val="00856D63"/>
    <w:rsid w:val="00856FC0"/>
    <w:rsid w:val="00857955"/>
    <w:rsid w:val="00857CBB"/>
    <w:rsid w:val="00857D93"/>
    <w:rsid w:val="00860BC8"/>
    <w:rsid w:val="00860D03"/>
    <w:rsid w:val="00861316"/>
    <w:rsid w:val="0086245B"/>
    <w:rsid w:val="00862B8C"/>
    <w:rsid w:val="008631D6"/>
    <w:rsid w:val="00863623"/>
    <w:rsid w:val="00863BD4"/>
    <w:rsid w:val="00863E87"/>
    <w:rsid w:val="00864C5D"/>
    <w:rsid w:val="00864FC7"/>
    <w:rsid w:val="008650E9"/>
    <w:rsid w:val="00865842"/>
    <w:rsid w:val="00866030"/>
    <w:rsid w:val="00866067"/>
    <w:rsid w:val="00867073"/>
    <w:rsid w:val="008702FD"/>
    <w:rsid w:val="00871071"/>
    <w:rsid w:val="0087152C"/>
    <w:rsid w:val="008719B7"/>
    <w:rsid w:val="00871CF6"/>
    <w:rsid w:val="00872492"/>
    <w:rsid w:val="008732E4"/>
    <w:rsid w:val="00874000"/>
    <w:rsid w:val="00874683"/>
    <w:rsid w:val="0087477C"/>
    <w:rsid w:val="00875507"/>
    <w:rsid w:val="00876E1E"/>
    <w:rsid w:val="008779B1"/>
    <w:rsid w:val="0088031A"/>
    <w:rsid w:val="00880783"/>
    <w:rsid w:val="00880933"/>
    <w:rsid w:val="0088168C"/>
    <w:rsid w:val="00881D0B"/>
    <w:rsid w:val="00881F89"/>
    <w:rsid w:val="00882E7E"/>
    <w:rsid w:val="00885391"/>
    <w:rsid w:val="00886289"/>
    <w:rsid w:val="00886DB5"/>
    <w:rsid w:val="00890232"/>
    <w:rsid w:val="008905F3"/>
    <w:rsid w:val="008908CD"/>
    <w:rsid w:val="008908D5"/>
    <w:rsid w:val="0089161A"/>
    <w:rsid w:val="008919B5"/>
    <w:rsid w:val="00892856"/>
    <w:rsid w:val="0089290B"/>
    <w:rsid w:val="0089303F"/>
    <w:rsid w:val="0089390B"/>
    <w:rsid w:val="00893DD4"/>
    <w:rsid w:val="00894777"/>
    <w:rsid w:val="00894AC1"/>
    <w:rsid w:val="008954C6"/>
    <w:rsid w:val="008955B7"/>
    <w:rsid w:val="0089636B"/>
    <w:rsid w:val="008975E2"/>
    <w:rsid w:val="00897781"/>
    <w:rsid w:val="00897B1B"/>
    <w:rsid w:val="00897DC5"/>
    <w:rsid w:val="008A0AA6"/>
    <w:rsid w:val="008A0E3C"/>
    <w:rsid w:val="008A0E86"/>
    <w:rsid w:val="008A1599"/>
    <w:rsid w:val="008A1CD4"/>
    <w:rsid w:val="008A202E"/>
    <w:rsid w:val="008A2889"/>
    <w:rsid w:val="008A29FD"/>
    <w:rsid w:val="008A36D2"/>
    <w:rsid w:val="008A3BD1"/>
    <w:rsid w:val="008A4084"/>
    <w:rsid w:val="008A4D27"/>
    <w:rsid w:val="008A4E0A"/>
    <w:rsid w:val="008A5766"/>
    <w:rsid w:val="008A57F6"/>
    <w:rsid w:val="008A7608"/>
    <w:rsid w:val="008B09CF"/>
    <w:rsid w:val="008B10F3"/>
    <w:rsid w:val="008B10F4"/>
    <w:rsid w:val="008B141C"/>
    <w:rsid w:val="008B18D0"/>
    <w:rsid w:val="008B32D0"/>
    <w:rsid w:val="008B50B3"/>
    <w:rsid w:val="008B5358"/>
    <w:rsid w:val="008B5795"/>
    <w:rsid w:val="008B795F"/>
    <w:rsid w:val="008C1B96"/>
    <w:rsid w:val="008C2730"/>
    <w:rsid w:val="008C274F"/>
    <w:rsid w:val="008C28F1"/>
    <w:rsid w:val="008C2E0E"/>
    <w:rsid w:val="008C36FA"/>
    <w:rsid w:val="008C3753"/>
    <w:rsid w:val="008C3A6D"/>
    <w:rsid w:val="008C5079"/>
    <w:rsid w:val="008C53BC"/>
    <w:rsid w:val="008C5CBE"/>
    <w:rsid w:val="008C5D29"/>
    <w:rsid w:val="008C6674"/>
    <w:rsid w:val="008C6B90"/>
    <w:rsid w:val="008C6BB0"/>
    <w:rsid w:val="008C702C"/>
    <w:rsid w:val="008C76DA"/>
    <w:rsid w:val="008C7758"/>
    <w:rsid w:val="008C7CE3"/>
    <w:rsid w:val="008C7EE9"/>
    <w:rsid w:val="008D0196"/>
    <w:rsid w:val="008D063A"/>
    <w:rsid w:val="008D074E"/>
    <w:rsid w:val="008D0EEB"/>
    <w:rsid w:val="008D1374"/>
    <w:rsid w:val="008D1402"/>
    <w:rsid w:val="008D14DA"/>
    <w:rsid w:val="008D2096"/>
    <w:rsid w:val="008D237E"/>
    <w:rsid w:val="008D2433"/>
    <w:rsid w:val="008D2B89"/>
    <w:rsid w:val="008D3EA8"/>
    <w:rsid w:val="008D4450"/>
    <w:rsid w:val="008D4657"/>
    <w:rsid w:val="008D46E2"/>
    <w:rsid w:val="008D5105"/>
    <w:rsid w:val="008D545D"/>
    <w:rsid w:val="008D573C"/>
    <w:rsid w:val="008D57B5"/>
    <w:rsid w:val="008D6899"/>
    <w:rsid w:val="008D7AC6"/>
    <w:rsid w:val="008D7FC4"/>
    <w:rsid w:val="008E02D0"/>
    <w:rsid w:val="008E1EB7"/>
    <w:rsid w:val="008E1ECD"/>
    <w:rsid w:val="008E2288"/>
    <w:rsid w:val="008E28A7"/>
    <w:rsid w:val="008E2BC6"/>
    <w:rsid w:val="008E3BAD"/>
    <w:rsid w:val="008E412D"/>
    <w:rsid w:val="008E43C5"/>
    <w:rsid w:val="008E477D"/>
    <w:rsid w:val="008E51FD"/>
    <w:rsid w:val="008E5A85"/>
    <w:rsid w:val="008E5C4D"/>
    <w:rsid w:val="008E6604"/>
    <w:rsid w:val="008E6D35"/>
    <w:rsid w:val="008E6F56"/>
    <w:rsid w:val="008E714D"/>
    <w:rsid w:val="008F081B"/>
    <w:rsid w:val="008F0B00"/>
    <w:rsid w:val="008F0C68"/>
    <w:rsid w:val="008F1731"/>
    <w:rsid w:val="008F1BBF"/>
    <w:rsid w:val="008F1CB1"/>
    <w:rsid w:val="008F24DB"/>
    <w:rsid w:val="008F2A97"/>
    <w:rsid w:val="008F2C2D"/>
    <w:rsid w:val="008F4062"/>
    <w:rsid w:val="008F435F"/>
    <w:rsid w:val="008F49A7"/>
    <w:rsid w:val="008F4B8F"/>
    <w:rsid w:val="008F5420"/>
    <w:rsid w:val="008F67AD"/>
    <w:rsid w:val="008F6CCF"/>
    <w:rsid w:val="008F74C6"/>
    <w:rsid w:val="0090013A"/>
    <w:rsid w:val="009002E1"/>
    <w:rsid w:val="0090047E"/>
    <w:rsid w:val="009016D6"/>
    <w:rsid w:val="00901957"/>
    <w:rsid w:val="00901CE6"/>
    <w:rsid w:val="009037E2"/>
    <w:rsid w:val="00904B57"/>
    <w:rsid w:val="00904B7A"/>
    <w:rsid w:val="00904C85"/>
    <w:rsid w:val="00904D18"/>
    <w:rsid w:val="00904E39"/>
    <w:rsid w:val="009053F1"/>
    <w:rsid w:val="009054BA"/>
    <w:rsid w:val="00905CCB"/>
    <w:rsid w:val="00905E48"/>
    <w:rsid w:val="009062E3"/>
    <w:rsid w:val="00906B76"/>
    <w:rsid w:val="009073E1"/>
    <w:rsid w:val="00910D2F"/>
    <w:rsid w:val="009110D0"/>
    <w:rsid w:val="0091274D"/>
    <w:rsid w:val="00912E61"/>
    <w:rsid w:val="009136BB"/>
    <w:rsid w:val="00913A8D"/>
    <w:rsid w:val="00913AF7"/>
    <w:rsid w:val="00913DB9"/>
    <w:rsid w:val="00914240"/>
    <w:rsid w:val="009155A2"/>
    <w:rsid w:val="00915605"/>
    <w:rsid w:val="009158DE"/>
    <w:rsid w:val="00916372"/>
    <w:rsid w:val="00916C0B"/>
    <w:rsid w:val="00916E9D"/>
    <w:rsid w:val="00916EB5"/>
    <w:rsid w:val="009201F9"/>
    <w:rsid w:val="0092027A"/>
    <w:rsid w:val="009202B3"/>
    <w:rsid w:val="00921148"/>
    <w:rsid w:val="00923292"/>
    <w:rsid w:val="00923398"/>
    <w:rsid w:val="00924867"/>
    <w:rsid w:val="009257EC"/>
    <w:rsid w:val="009258F4"/>
    <w:rsid w:val="009261EB"/>
    <w:rsid w:val="00926B56"/>
    <w:rsid w:val="00926FB7"/>
    <w:rsid w:val="009275CA"/>
    <w:rsid w:val="00927C06"/>
    <w:rsid w:val="00927D6A"/>
    <w:rsid w:val="00927E42"/>
    <w:rsid w:val="00931513"/>
    <w:rsid w:val="00931A77"/>
    <w:rsid w:val="00931AC9"/>
    <w:rsid w:val="00931EFF"/>
    <w:rsid w:val="00932355"/>
    <w:rsid w:val="00932A85"/>
    <w:rsid w:val="0093304F"/>
    <w:rsid w:val="009331F9"/>
    <w:rsid w:val="00934434"/>
    <w:rsid w:val="009356D9"/>
    <w:rsid w:val="00936200"/>
    <w:rsid w:val="00936473"/>
    <w:rsid w:val="00937C45"/>
    <w:rsid w:val="00940BF9"/>
    <w:rsid w:val="00940E8D"/>
    <w:rsid w:val="00941B5D"/>
    <w:rsid w:val="00941BF4"/>
    <w:rsid w:val="00941E7C"/>
    <w:rsid w:val="0094256F"/>
    <w:rsid w:val="009425F6"/>
    <w:rsid w:val="00942B2A"/>
    <w:rsid w:val="00943DC2"/>
    <w:rsid w:val="00943E49"/>
    <w:rsid w:val="00945393"/>
    <w:rsid w:val="00945D38"/>
    <w:rsid w:val="00945F64"/>
    <w:rsid w:val="0094689F"/>
    <w:rsid w:val="00946F78"/>
    <w:rsid w:val="009503DD"/>
    <w:rsid w:val="0095047F"/>
    <w:rsid w:val="009506F2"/>
    <w:rsid w:val="009507B6"/>
    <w:rsid w:val="009509D8"/>
    <w:rsid w:val="00951F83"/>
    <w:rsid w:val="00952187"/>
    <w:rsid w:val="0095368E"/>
    <w:rsid w:val="00953E7A"/>
    <w:rsid w:val="0095440E"/>
    <w:rsid w:val="0095486C"/>
    <w:rsid w:val="00954D1D"/>
    <w:rsid w:val="009553CD"/>
    <w:rsid w:val="009558A6"/>
    <w:rsid w:val="00956432"/>
    <w:rsid w:val="009564B9"/>
    <w:rsid w:val="009571B2"/>
    <w:rsid w:val="009573EC"/>
    <w:rsid w:val="00957859"/>
    <w:rsid w:val="00957B14"/>
    <w:rsid w:val="009610C0"/>
    <w:rsid w:val="00961E72"/>
    <w:rsid w:val="00962964"/>
    <w:rsid w:val="00962AE8"/>
    <w:rsid w:val="00963476"/>
    <w:rsid w:val="00963487"/>
    <w:rsid w:val="00963A2F"/>
    <w:rsid w:val="00963B36"/>
    <w:rsid w:val="00963C2A"/>
    <w:rsid w:val="00963F2E"/>
    <w:rsid w:val="00964CFB"/>
    <w:rsid w:val="00965308"/>
    <w:rsid w:val="00965BAC"/>
    <w:rsid w:val="0096780D"/>
    <w:rsid w:val="00967DC0"/>
    <w:rsid w:val="00970383"/>
    <w:rsid w:val="00970B5B"/>
    <w:rsid w:val="00970FEF"/>
    <w:rsid w:val="0097120C"/>
    <w:rsid w:val="00971774"/>
    <w:rsid w:val="00971AA3"/>
    <w:rsid w:val="00971FFD"/>
    <w:rsid w:val="0097257A"/>
    <w:rsid w:val="009735A8"/>
    <w:rsid w:val="00973B17"/>
    <w:rsid w:val="00973BF4"/>
    <w:rsid w:val="00973ED7"/>
    <w:rsid w:val="00974030"/>
    <w:rsid w:val="0097599F"/>
    <w:rsid w:val="009768FE"/>
    <w:rsid w:val="009808E0"/>
    <w:rsid w:val="00980A8D"/>
    <w:rsid w:val="009811BA"/>
    <w:rsid w:val="00981A6F"/>
    <w:rsid w:val="00981E1E"/>
    <w:rsid w:val="00982127"/>
    <w:rsid w:val="009835F8"/>
    <w:rsid w:val="0098473A"/>
    <w:rsid w:val="00985095"/>
    <w:rsid w:val="009857AD"/>
    <w:rsid w:val="00985F4A"/>
    <w:rsid w:val="009867F7"/>
    <w:rsid w:val="00986807"/>
    <w:rsid w:val="00986EB3"/>
    <w:rsid w:val="009922D6"/>
    <w:rsid w:val="009922DD"/>
    <w:rsid w:val="00992371"/>
    <w:rsid w:val="009933B1"/>
    <w:rsid w:val="009934D9"/>
    <w:rsid w:val="0099384F"/>
    <w:rsid w:val="00993E58"/>
    <w:rsid w:val="00994068"/>
    <w:rsid w:val="00994609"/>
    <w:rsid w:val="00994F28"/>
    <w:rsid w:val="00995A81"/>
    <w:rsid w:val="00996918"/>
    <w:rsid w:val="009974A9"/>
    <w:rsid w:val="009A0853"/>
    <w:rsid w:val="009A0AB6"/>
    <w:rsid w:val="009A12AD"/>
    <w:rsid w:val="009A16EF"/>
    <w:rsid w:val="009A29AF"/>
    <w:rsid w:val="009A29DF"/>
    <w:rsid w:val="009A31A1"/>
    <w:rsid w:val="009A3281"/>
    <w:rsid w:val="009A3445"/>
    <w:rsid w:val="009A34CC"/>
    <w:rsid w:val="009A380D"/>
    <w:rsid w:val="009A3904"/>
    <w:rsid w:val="009A3CBE"/>
    <w:rsid w:val="009A4652"/>
    <w:rsid w:val="009A490F"/>
    <w:rsid w:val="009A4C3F"/>
    <w:rsid w:val="009A55CE"/>
    <w:rsid w:val="009A63BA"/>
    <w:rsid w:val="009A6D45"/>
    <w:rsid w:val="009A72E9"/>
    <w:rsid w:val="009A74F3"/>
    <w:rsid w:val="009B0660"/>
    <w:rsid w:val="009B181C"/>
    <w:rsid w:val="009B2142"/>
    <w:rsid w:val="009B2B66"/>
    <w:rsid w:val="009B2E65"/>
    <w:rsid w:val="009B45AB"/>
    <w:rsid w:val="009B46AA"/>
    <w:rsid w:val="009B4997"/>
    <w:rsid w:val="009B528E"/>
    <w:rsid w:val="009B61B0"/>
    <w:rsid w:val="009B65A9"/>
    <w:rsid w:val="009B676B"/>
    <w:rsid w:val="009B7A47"/>
    <w:rsid w:val="009C0054"/>
    <w:rsid w:val="009C0500"/>
    <w:rsid w:val="009C09DA"/>
    <w:rsid w:val="009C0AFC"/>
    <w:rsid w:val="009C0DCA"/>
    <w:rsid w:val="009C172B"/>
    <w:rsid w:val="009C2041"/>
    <w:rsid w:val="009C254F"/>
    <w:rsid w:val="009C28C5"/>
    <w:rsid w:val="009C42D3"/>
    <w:rsid w:val="009C4694"/>
    <w:rsid w:val="009C5584"/>
    <w:rsid w:val="009C55F8"/>
    <w:rsid w:val="009C5629"/>
    <w:rsid w:val="009C5782"/>
    <w:rsid w:val="009C5B85"/>
    <w:rsid w:val="009C6229"/>
    <w:rsid w:val="009C6482"/>
    <w:rsid w:val="009C704A"/>
    <w:rsid w:val="009C7554"/>
    <w:rsid w:val="009C7CB3"/>
    <w:rsid w:val="009C7DF1"/>
    <w:rsid w:val="009C7F52"/>
    <w:rsid w:val="009D0160"/>
    <w:rsid w:val="009D0399"/>
    <w:rsid w:val="009D1B09"/>
    <w:rsid w:val="009D3240"/>
    <w:rsid w:val="009D3BD1"/>
    <w:rsid w:val="009D4BF6"/>
    <w:rsid w:val="009D5001"/>
    <w:rsid w:val="009D54A4"/>
    <w:rsid w:val="009D5544"/>
    <w:rsid w:val="009D6185"/>
    <w:rsid w:val="009D6BC5"/>
    <w:rsid w:val="009D704A"/>
    <w:rsid w:val="009D751D"/>
    <w:rsid w:val="009D7540"/>
    <w:rsid w:val="009D78B5"/>
    <w:rsid w:val="009D7B22"/>
    <w:rsid w:val="009D7FE4"/>
    <w:rsid w:val="009E0231"/>
    <w:rsid w:val="009E039B"/>
    <w:rsid w:val="009E0421"/>
    <w:rsid w:val="009E1618"/>
    <w:rsid w:val="009E2122"/>
    <w:rsid w:val="009E2194"/>
    <w:rsid w:val="009E27F4"/>
    <w:rsid w:val="009E2D02"/>
    <w:rsid w:val="009E2F49"/>
    <w:rsid w:val="009E3A21"/>
    <w:rsid w:val="009E4E3D"/>
    <w:rsid w:val="009E5545"/>
    <w:rsid w:val="009E682A"/>
    <w:rsid w:val="009E6B93"/>
    <w:rsid w:val="009E6C17"/>
    <w:rsid w:val="009F0215"/>
    <w:rsid w:val="009F03C7"/>
    <w:rsid w:val="009F07E5"/>
    <w:rsid w:val="009F1A9E"/>
    <w:rsid w:val="009F1D1D"/>
    <w:rsid w:val="009F1F2B"/>
    <w:rsid w:val="009F2207"/>
    <w:rsid w:val="009F2A57"/>
    <w:rsid w:val="009F2AFA"/>
    <w:rsid w:val="009F315F"/>
    <w:rsid w:val="009F3EF4"/>
    <w:rsid w:val="009F46B9"/>
    <w:rsid w:val="009F50FA"/>
    <w:rsid w:val="009F5608"/>
    <w:rsid w:val="009F6972"/>
    <w:rsid w:val="009F6A64"/>
    <w:rsid w:val="009F6EAD"/>
    <w:rsid w:val="009F7AF9"/>
    <w:rsid w:val="00A0028C"/>
    <w:rsid w:val="00A00580"/>
    <w:rsid w:val="00A008F9"/>
    <w:rsid w:val="00A00A40"/>
    <w:rsid w:val="00A00D9F"/>
    <w:rsid w:val="00A015AD"/>
    <w:rsid w:val="00A017E9"/>
    <w:rsid w:val="00A01E1A"/>
    <w:rsid w:val="00A0253D"/>
    <w:rsid w:val="00A02871"/>
    <w:rsid w:val="00A02DFA"/>
    <w:rsid w:val="00A03144"/>
    <w:rsid w:val="00A0357F"/>
    <w:rsid w:val="00A039BF"/>
    <w:rsid w:val="00A03CB1"/>
    <w:rsid w:val="00A0467F"/>
    <w:rsid w:val="00A04E8C"/>
    <w:rsid w:val="00A04FD6"/>
    <w:rsid w:val="00A050CD"/>
    <w:rsid w:val="00A05942"/>
    <w:rsid w:val="00A06A3B"/>
    <w:rsid w:val="00A07103"/>
    <w:rsid w:val="00A076DF"/>
    <w:rsid w:val="00A07ADB"/>
    <w:rsid w:val="00A07DED"/>
    <w:rsid w:val="00A1035D"/>
    <w:rsid w:val="00A103D3"/>
    <w:rsid w:val="00A11174"/>
    <w:rsid w:val="00A11C4B"/>
    <w:rsid w:val="00A1224A"/>
    <w:rsid w:val="00A12931"/>
    <w:rsid w:val="00A1295F"/>
    <w:rsid w:val="00A13030"/>
    <w:rsid w:val="00A13B6A"/>
    <w:rsid w:val="00A13E92"/>
    <w:rsid w:val="00A1442E"/>
    <w:rsid w:val="00A14914"/>
    <w:rsid w:val="00A1497D"/>
    <w:rsid w:val="00A14B03"/>
    <w:rsid w:val="00A14F48"/>
    <w:rsid w:val="00A14FDD"/>
    <w:rsid w:val="00A1514E"/>
    <w:rsid w:val="00A15624"/>
    <w:rsid w:val="00A1562F"/>
    <w:rsid w:val="00A15D92"/>
    <w:rsid w:val="00A163D9"/>
    <w:rsid w:val="00A1663D"/>
    <w:rsid w:val="00A16CF2"/>
    <w:rsid w:val="00A17646"/>
    <w:rsid w:val="00A17ACC"/>
    <w:rsid w:val="00A17D88"/>
    <w:rsid w:val="00A200DC"/>
    <w:rsid w:val="00A210FC"/>
    <w:rsid w:val="00A214CF"/>
    <w:rsid w:val="00A2156D"/>
    <w:rsid w:val="00A21A79"/>
    <w:rsid w:val="00A21AC1"/>
    <w:rsid w:val="00A238BE"/>
    <w:rsid w:val="00A23AC4"/>
    <w:rsid w:val="00A2447F"/>
    <w:rsid w:val="00A25AD5"/>
    <w:rsid w:val="00A26665"/>
    <w:rsid w:val="00A273CE"/>
    <w:rsid w:val="00A27895"/>
    <w:rsid w:val="00A27D33"/>
    <w:rsid w:val="00A30012"/>
    <w:rsid w:val="00A3079C"/>
    <w:rsid w:val="00A31CC8"/>
    <w:rsid w:val="00A31D62"/>
    <w:rsid w:val="00A31DCF"/>
    <w:rsid w:val="00A339BA"/>
    <w:rsid w:val="00A33EFD"/>
    <w:rsid w:val="00A33FB0"/>
    <w:rsid w:val="00A3457A"/>
    <w:rsid w:val="00A34F30"/>
    <w:rsid w:val="00A357FE"/>
    <w:rsid w:val="00A35E79"/>
    <w:rsid w:val="00A36E6C"/>
    <w:rsid w:val="00A3752C"/>
    <w:rsid w:val="00A378DA"/>
    <w:rsid w:val="00A4046E"/>
    <w:rsid w:val="00A406FC"/>
    <w:rsid w:val="00A408C4"/>
    <w:rsid w:val="00A40D37"/>
    <w:rsid w:val="00A410C5"/>
    <w:rsid w:val="00A4126A"/>
    <w:rsid w:val="00A41683"/>
    <w:rsid w:val="00A41885"/>
    <w:rsid w:val="00A4223D"/>
    <w:rsid w:val="00A427D5"/>
    <w:rsid w:val="00A4322E"/>
    <w:rsid w:val="00A43276"/>
    <w:rsid w:val="00A436D8"/>
    <w:rsid w:val="00A446A8"/>
    <w:rsid w:val="00A446C1"/>
    <w:rsid w:val="00A446E9"/>
    <w:rsid w:val="00A4480B"/>
    <w:rsid w:val="00A4496A"/>
    <w:rsid w:val="00A454A2"/>
    <w:rsid w:val="00A456AF"/>
    <w:rsid w:val="00A47210"/>
    <w:rsid w:val="00A5029D"/>
    <w:rsid w:val="00A52356"/>
    <w:rsid w:val="00A52BCB"/>
    <w:rsid w:val="00A53534"/>
    <w:rsid w:val="00A543AF"/>
    <w:rsid w:val="00A55EDF"/>
    <w:rsid w:val="00A56BC5"/>
    <w:rsid w:val="00A56E42"/>
    <w:rsid w:val="00A60B45"/>
    <w:rsid w:val="00A60FED"/>
    <w:rsid w:val="00A612FB"/>
    <w:rsid w:val="00A6198B"/>
    <w:rsid w:val="00A631DA"/>
    <w:rsid w:val="00A63AE1"/>
    <w:rsid w:val="00A64158"/>
    <w:rsid w:val="00A641DC"/>
    <w:rsid w:val="00A64585"/>
    <w:rsid w:val="00A64FD5"/>
    <w:rsid w:val="00A65D0A"/>
    <w:rsid w:val="00A6785C"/>
    <w:rsid w:val="00A678E4"/>
    <w:rsid w:val="00A7011C"/>
    <w:rsid w:val="00A70394"/>
    <w:rsid w:val="00A715BA"/>
    <w:rsid w:val="00A72708"/>
    <w:rsid w:val="00A727FB"/>
    <w:rsid w:val="00A72C6D"/>
    <w:rsid w:val="00A731E4"/>
    <w:rsid w:val="00A73439"/>
    <w:rsid w:val="00A73FBE"/>
    <w:rsid w:val="00A743D4"/>
    <w:rsid w:val="00A7512B"/>
    <w:rsid w:val="00A7515E"/>
    <w:rsid w:val="00A751F3"/>
    <w:rsid w:val="00A7655B"/>
    <w:rsid w:val="00A76E19"/>
    <w:rsid w:val="00A77651"/>
    <w:rsid w:val="00A779FA"/>
    <w:rsid w:val="00A77B52"/>
    <w:rsid w:val="00A80558"/>
    <w:rsid w:val="00A807C0"/>
    <w:rsid w:val="00A80D14"/>
    <w:rsid w:val="00A81567"/>
    <w:rsid w:val="00A816B3"/>
    <w:rsid w:val="00A81914"/>
    <w:rsid w:val="00A81DBB"/>
    <w:rsid w:val="00A81EA9"/>
    <w:rsid w:val="00A82407"/>
    <w:rsid w:val="00A8277A"/>
    <w:rsid w:val="00A8303A"/>
    <w:rsid w:val="00A83886"/>
    <w:rsid w:val="00A84111"/>
    <w:rsid w:val="00A843AB"/>
    <w:rsid w:val="00A8559D"/>
    <w:rsid w:val="00A8570A"/>
    <w:rsid w:val="00A85E5E"/>
    <w:rsid w:val="00A860A5"/>
    <w:rsid w:val="00A86868"/>
    <w:rsid w:val="00A869F4"/>
    <w:rsid w:val="00A86F32"/>
    <w:rsid w:val="00A87004"/>
    <w:rsid w:val="00A871F7"/>
    <w:rsid w:val="00A874D5"/>
    <w:rsid w:val="00A87B82"/>
    <w:rsid w:val="00A90160"/>
    <w:rsid w:val="00A904AF"/>
    <w:rsid w:val="00A90791"/>
    <w:rsid w:val="00A92070"/>
    <w:rsid w:val="00A93B36"/>
    <w:rsid w:val="00A945B7"/>
    <w:rsid w:val="00A954F2"/>
    <w:rsid w:val="00A956EF"/>
    <w:rsid w:val="00A95861"/>
    <w:rsid w:val="00A9677D"/>
    <w:rsid w:val="00A96A95"/>
    <w:rsid w:val="00A96C9E"/>
    <w:rsid w:val="00A9785C"/>
    <w:rsid w:val="00AA0120"/>
    <w:rsid w:val="00AA0540"/>
    <w:rsid w:val="00AA09C0"/>
    <w:rsid w:val="00AA0C00"/>
    <w:rsid w:val="00AA0E60"/>
    <w:rsid w:val="00AA1597"/>
    <w:rsid w:val="00AA1D9E"/>
    <w:rsid w:val="00AA1F1F"/>
    <w:rsid w:val="00AA32C5"/>
    <w:rsid w:val="00AA3505"/>
    <w:rsid w:val="00AA37C6"/>
    <w:rsid w:val="00AA3929"/>
    <w:rsid w:val="00AA3BC7"/>
    <w:rsid w:val="00AA4A42"/>
    <w:rsid w:val="00AA4E1B"/>
    <w:rsid w:val="00AA527C"/>
    <w:rsid w:val="00AA52C4"/>
    <w:rsid w:val="00AA5394"/>
    <w:rsid w:val="00AA53B8"/>
    <w:rsid w:val="00AA5D4B"/>
    <w:rsid w:val="00AA6261"/>
    <w:rsid w:val="00AA6EBD"/>
    <w:rsid w:val="00AA6EC7"/>
    <w:rsid w:val="00AB0472"/>
    <w:rsid w:val="00AB0CA1"/>
    <w:rsid w:val="00AB12A1"/>
    <w:rsid w:val="00AB14C6"/>
    <w:rsid w:val="00AB1A62"/>
    <w:rsid w:val="00AB231B"/>
    <w:rsid w:val="00AB2558"/>
    <w:rsid w:val="00AB27F1"/>
    <w:rsid w:val="00AB29F1"/>
    <w:rsid w:val="00AB2A82"/>
    <w:rsid w:val="00AB31F7"/>
    <w:rsid w:val="00AB368F"/>
    <w:rsid w:val="00AB3B6E"/>
    <w:rsid w:val="00AB3DB6"/>
    <w:rsid w:val="00AB3F06"/>
    <w:rsid w:val="00AB4977"/>
    <w:rsid w:val="00AB4A49"/>
    <w:rsid w:val="00AB4D76"/>
    <w:rsid w:val="00AB555A"/>
    <w:rsid w:val="00AB5B1F"/>
    <w:rsid w:val="00AB6009"/>
    <w:rsid w:val="00AB6AD5"/>
    <w:rsid w:val="00AB7971"/>
    <w:rsid w:val="00AB7C63"/>
    <w:rsid w:val="00AC0702"/>
    <w:rsid w:val="00AC077C"/>
    <w:rsid w:val="00AC1753"/>
    <w:rsid w:val="00AC17A2"/>
    <w:rsid w:val="00AC180A"/>
    <w:rsid w:val="00AC355D"/>
    <w:rsid w:val="00AC35A8"/>
    <w:rsid w:val="00AC380B"/>
    <w:rsid w:val="00AC39D8"/>
    <w:rsid w:val="00AC43F6"/>
    <w:rsid w:val="00AC4CD2"/>
    <w:rsid w:val="00AC551E"/>
    <w:rsid w:val="00AC5BBF"/>
    <w:rsid w:val="00AC618A"/>
    <w:rsid w:val="00AC637B"/>
    <w:rsid w:val="00AC6984"/>
    <w:rsid w:val="00AC6C24"/>
    <w:rsid w:val="00AC7FE2"/>
    <w:rsid w:val="00AD0ED6"/>
    <w:rsid w:val="00AD1007"/>
    <w:rsid w:val="00AD140B"/>
    <w:rsid w:val="00AD1927"/>
    <w:rsid w:val="00AD1933"/>
    <w:rsid w:val="00AD3D01"/>
    <w:rsid w:val="00AD4515"/>
    <w:rsid w:val="00AD4765"/>
    <w:rsid w:val="00AD48F4"/>
    <w:rsid w:val="00AD625F"/>
    <w:rsid w:val="00AD7FFE"/>
    <w:rsid w:val="00AE0137"/>
    <w:rsid w:val="00AE03BC"/>
    <w:rsid w:val="00AE0A76"/>
    <w:rsid w:val="00AE1681"/>
    <w:rsid w:val="00AE1CAC"/>
    <w:rsid w:val="00AE27D3"/>
    <w:rsid w:val="00AE2ADF"/>
    <w:rsid w:val="00AE34EF"/>
    <w:rsid w:val="00AE3D4C"/>
    <w:rsid w:val="00AE4CFA"/>
    <w:rsid w:val="00AE4D2E"/>
    <w:rsid w:val="00AE4DE4"/>
    <w:rsid w:val="00AE5273"/>
    <w:rsid w:val="00AE5EF3"/>
    <w:rsid w:val="00AE784C"/>
    <w:rsid w:val="00AE7F2D"/>
    <w:rsid w:val="00AF036A"/>
    <w:rsid w:val="00AF0CA8"/>
    <w:rsid w:val="00AF1C45"/>
    <w:rsid w:val="00AF29B9"/>
    <w:rsid w:val="00AF3696"/>
    <w:rsid w:val="00AF38FC"/>
    <w:rsid w:val="00AF3963"/>
    <w:rsid w:val="00AF39A6"/>
    <w:rsid w:val="00AF3A6C"/>
    <w:rsid w:val="00AF4487"/>
    <w:rsid w:val="00AF5434"/>
    <w:rsid w:val="00AF5693"/>
    <w:rsid w:val="00AF66EC"/>
    <w:rsid w:val="00AF7A8F"/>
    <w:rsid w:val="00AF7ABB"/>
    <w:rsid w:val="00AF7EAE"/>
    <w:rsid w:val="00B003B7"/>
    <w:rsid w:val="00B00406"/>
    <w:rsid w:val="00B01719"/>
    <w:rsid w:val="00B0226A"/>
    <w:rsid w:val="00B02373"/>
    <w:rsid w:val="00B02C82"/>
    <w:rsid w:val="00B03788"/>
    <w:rsid w:val="00B03B89"/>
    <w:rsid w:val="00B03FD7"/>
    <w:rsid w:val="00B04506"/>
    <w:rsid w:val="00B046B3"/>
    <w:rsid w:val="00B059CD"/>
    <w:rsid w:val="00B063C7"/>
    <w:rsid w:val="00B0652E"/>
    <w:rsid w:val="00B06810"/>
    <w:rsid w:val="00B06EA5"/>
    <w:rsid w:val="00B11126"/>
    <w:rsid w:val="00B12021"/>
    <w:rsid w:val="00B1210E"/>
    <w:rsid w:val="00B1241C"/>
    <w:rsid w:val="00B12592"/>
    <w:rsid w:val="00B12985"/>
    <w:rsid w:val="00B129D7"/>
    <w:rsid w:val="00B12B40"/>
    <w:rsid w:val="00B12FB2"/>
    <w:rsid w:val="00B13814"/>
    <w:rsid w:val="00B13BAA"/>
    <w:rsid w:val="00B144A0"/>
    <w:rsid w:val="00B1459F"/>
    <w:rsid w:val="00B15479"/>
    <w:rsid w:val="00B15C5C"/>
    <w:rsid w:val="00B15E1F"/>
    <w:rsid w:val="00B16E06"/>
    <w:rsid w:val="00B16FB4"/>
    <w:rsid w:val="00B17DD3"/>
    <w:rsid w:val="00B20086"/>
    <w:rsid w:val="00B20F7F"/>
    <w:rsid w:val="00B213F3"/>
    <w:rsid w:val="00B2148B"/>
    <w:rsid w:val="00B2312A"/>
    <w:rsid w:val="00B232B0"/>
    <w:rsid w:val="00B245CC"/>
    <w:rsid w:val="00B255F5"/>
    <w:rsid w:val="00B25998"/>
    <w:rsid w:val="00B260A9"/>
    <w:rsid w:val="00B26975"/>
    <w:rsid w:val="00B272A5"/>
    <w:rsid w:val="00B27C43"/>
    <w:rsid w:val="00B3016E"/>
    <w:rsid w:val="00B30703"/>
    <w:rsid w:val="00B319C8"/>
    <w:rsid w:val="00B323EC"/>
    <w:rsid w:val="00B32565"/>
    <w:rsid w:val="00B3306A"/>
    <w:rsid w:val="00B3306B"/>
    <w:rsid w:val="00B33189"/>
    <w:rsid w:val="00B335D9"/>
    <w:rsid w:val="00B349CE"/>
    <w:rsid w:val="00B3527C"/>
    <w:rsid w:val="00B3667A"/>
    <w:rsid w:val="00B3762C"/>
    <w:rsid w:val="00B4037F"/>
    <w:rsid w:val="00B403D7"/>
    <w:rsid w:val="00B41A33"/>
    <w:rsid w:val="00B41E68"/>
    <w:rsid w:val="00B421D3"/>
    <w:rsid w:val="00B42482"/>
    <w:rsid w:val="00B42F91"/>
    <w:rsid w:val="00B44D6C"/>
    <w:rsid w:val="00B44DAE"/>
    <w:rsid w:val="00B465C0"/>
    <w:rsid w:val="00B47801"/>
    <w:rsid w:val="00B47BDE"/>
    <w:rsid w:val="00B504AD"/>
    <w:rsid w:val="00B51955"/>
    <w:rsid w:val="00B51D0D"/>
    <w:rsid w:val="00B51F4A"/>
    <w:rsid w:val="00B54CBB"/>
    <w:rsid w:val="00B55140"/>
    <w:rsid w:val="00B5594F"/>
    <w:rsid w:val="00B55E75"/>
    <w:rsid w:val="00B55F6D"/>
    <w:rsid w:val="00B5745D"/>
    <w:rsid w:val="00B57790"/>
    <w:rsid w:val="00B57F8C"/>
    <w:rsid w:val="00B6002C"/>
    <w:rsid w:val="00B6180F"/>
    <w:rsid w:val="00B62C24"/>
    <w:rsid w:val="00B63140"/>
    <w:rsid w:val="00B635C8"/>
    <w:rsid w:val="00B638C9"/>
    <w:rsid w:val="00B63E21"/>
    <w:rsid w:val="00B6581B"/>
    <w:rsid w:val="00B6613C"/>
    <w:rsid w:val="00B665ED"/>
    <w:rsid w:val="00B67848"/>
    <w:rsid w:val="00B706E9"/>
    <w:rsid w:val="00B708F2"/>
    <w:rsid w:val="00B70B11"/>
    <w:rsid w:val="00B70D79"/>
    <w:rsid w:val="00B71570"/>
    <w:rsid w:val="00B71B99"/>
    <w:rsid w:val="00B72744"/>
    <w:rsid w:val="00B729F1"/>
    <w:rsid w:val="00B730FF"/>
    <w:rsid w:val="00B74026"/>
    <w:rsid w:val="00B75731"/>
    <w:rsid w:val="00B75C14"/>
    <w:rsid w:val="00B75D3A"/>
    <w:rsid w:val="00B7659D"/>
    <w:rsid w:val="00B765F6"/>
    <w:rsid w:val="00B776F2"/>
    <w:rsid w:val="00B77720"/>
    <w:rsid w:val="00B80277"/>
    <w:rsid w:val="00B80B26"/>
    <w:rsid w:val="00B80BC4"/>
    <w:rsid w:val="00B81107"/>
    <w:rsid w:val="00B81AE6"/>
    <w:rsid w:val="00B81DE1"/>
    <w:rsid w:val="00B81FBE"/>
    <w:rsid w:val="00B8207A"/>
    <w:rsid w:val="00B821BB"/>
    <w:rsid w:val="00B82FC7"/>
    <w:rsid w:val="00B83018"/>
    <w:rsid w:val="00B8368F"/>
    <w:rsid w:val="00B846E1"/>
    <w:rsid w:val="00B84B98"/>
    <w:rsid w:val="00B853DF"/>
    <w:rsid w:val="00B85603"/>
    <w:rsid w:val="00B85649"/>
    <w:rsid w:val="00B856A2"/>
    <w:rsid w:val="00B86737"/>
    <w:rsid w:val="00B86999"/>
    <w:rsid w:val="00B87758"/>
    <w:rsid w:val="00B87FAD"/>
    <w:rsid w:val="00B87FB2"/>
    <w:rsid w:val="00B9069F"/>
    <w:rsid w:val="00B917B3"/>
    <w:rsid w:val="00B91930"/>
    <w:rsid w:val="00B91F16"/>
    <w:rsid w:val="00B92400"/>
    <w:rsid w:val="00B9426E"/>
    <w:rsid w:val="00B94656"/>
    <w:rsid w:val="00B94CAB"/>
    <w:rsid w:val="00B956EE"/>
    <w:rsid w:val="00B96807"/>
    <w:rsid w:val="00BA13BC"/>
    <w:rsid w:val="00BA32A0"/>
    <w:rsid w:val="00BA48CC"/>
    <w:rsid w:val="00BA4993"/>
    <w:rsid w:val="00BA4ACE"/>
    <w:rsid w:val="00BA4D37"/>
    <w:rsid w:val="00BA52B0"/>
    <w:rsid w:val="00BA5A9A"/>
    <w:rsid w:val="00BA5D90"/>
    <w:rsid w:val="00BA6725"/>
    <w:rsid w:val="00BA70F9"/>
    <w:rsid w:val="00BA7376"/>
    <w:rsid w:val="00BA7DE9"/>
    <w:rsid w:val="00BA7F45"/>
    <w:rsid w:val="00BB0130"/>
    <w:rsid w:val="00BB136D"/>
    <w:rsid w:val="00BB1609"/>
    <w:rsid w:val="00BB1BA6"/>
    <w:rsid w:val="00BB208C"/>
    <w:rsid w:val="00BB289C"/>
    <w:rsid w:val="00BB2D19"/>
    <w:rsid w:val="00BB3483"/>
    <w:rsid w:val="00BB3966"/>
    <w:rsid w:val="00BB3EF0"/>
    <w:rsid w:val="00BB499E"/>
    <w:rsid w:val="00BB509D"/>
    <w:rsid w:val="00BB52A3"/>
    <w:rsid w:val="00BB62E6"/>
    <w:rsid w:val="00BB73DF"/>
    <w:rsid w:val="00BB7587"/>
    <w:rsid w:val="00BB75A8"/>
    <w:rsid w:val="00BB79EA"/>
    <w:rsid w:val="00BB7A63"/>
    <w:rsid w:val="00BB7C3C"/>
    <w:rsid w:val="00BC05E1"/>
    <w:rsid w:val="00BC07EE"/>
    <w:rsid w:val="00BC10AF"/>
    <w:rsid w:val="00BC14A1"/>
    <w:rsid w:val="00BC2366"/>
    <w:rsid w:val="00BC2C14"/>
    <w:rsid w:val="00BC3D13"/>
    <w:rsid w:val="00BC4074"/>
    <w:rsid w:val="00BC4215"/>
    <w:rsid w:val="00BC476A"/>
    <w:rsid w:val="00BC4811"/>
    <w:rsid w:val="00BC5590"/>
    <w:rsid w:val="00BC5666"/>
    <w:rsid w:val="00BC604A"/>
    <w:rsid w:val="00BC6071"/>
    <w:rsid w:val="00BC67D4"/>
    <w:rsid w:val="00BC6BEF"/>
    <w:rsid w:val="00BC773D"/>
    <w:rsid w:val="00BC7E93"/>
    <w:rsid w:val="00BD02FE"/>
    <w:rsid w:val="00BD04FA"/>
    <w:rsid w:val="00BD15C6"/>
    <w:rsid w:val="00BD1DE9"/>
    <w:rsid w:val="00BD1E7C"/>
    <w:rsid w:val="00BD1F73"/>
    <w:rsid w:val="00BD23A9"/>
    <w:rsid w:val="00BD2AF5"/>
    <w:rsid w:val="00BD2F40"/>
    <w:rsid w:val="00BD325D"/>
    <w:rsid w:val="00BD44C9"/>
    <w:rsid w:val="00BD4F62"/>
    <w:rsid w:val="00BD5388"/>
    <w:rsid w:val="00BD5597"/>
    <w:rsid w:val="00BD5D7F"/>
    <w:rsid w:val="00BD62B9"/>
    <w:rsid w:val="00BD6F9D"/>
    <w:rsid w:val="00BD736F"/>
    <w:rsid w:val="00BE0323"/>
    <w:rsid w:val="00BE04C1"/>
    <w:rsid w:val="00BE1372"/>
    <w:rsid w:val="00BE1A18"/>
    <w:rsid w:val="00BE2B79"/>
    <w:rsid w:val="00BE2BF9"/>
    <w:rsid w:val="00BE31C5"/>
    <w:rsid w:val="00BE37F2"/>
    <w:rsid w:val="00BE3B37"/>
    <w:rsid w:val="00BE3EDD"/>
    <w:rsid w:val="00BE46C7"/>
    <w:rsid w:val="00BE4E14"/>
    <w:rsid w:val="00BE4ECA"/>
    <w:rsid w:val="00BE67E2"/>
    <w:rsid w:val="00BE7E9C"/>
    <w:rsid w:val="00BE7FAC"/>
    <w:rsid w:val="00BF0793"/>
    <w:rsid w:val="00BF0863"/>
    <w:rsid w:val="00BF092D"/>
    <w:rsid w:val="00BF1673"/>
    <w:rsid w:val="00BF1A42"/>
    <w:rsid w:val="00BF1AB8"/>
    <w:rsid w:val="00BF1D79"/>
    <w:rsid w:val="00BF1EC7"/>
    <w:rsid w:val="00BF323D"/>
    <w:rsid w:val="00BF33DA"/>
    <w:rsid w:val="00BF3800"/>
    <w:rsid w:val="00BF44FA"/>
    <w:rsid w:val="00BF4B56"/>
    <w:rsid w:val="00BF4D58"/>
    <w:rsid w:val="00BF4FAE"/>
    <w:rsid w:val="00BF64C7"/>
    <w:rsid w:val="00BF681A"/>
    <w:rsid w:val="00BF68C8"/>
    <w:rsid w:val="00BF7559"/>
    <w:rsid w:val="00C00335"/>
    <w:rsid w:val="00C00E31"/>
    <w:rsid w:val="00C00FA9"/>
    <w:rsid w:val="00C01361"/>
    <w:rsid w:val="00C016AB"/>
    <w:rsid w:val="00C01D8A"/>
    <w:rsid w:val="00C023C0"/>
    <w:rsid w:val="00C02E5B"/>
    <w:rsid w:val="00C03553"/>
    <w:rsid w:val="00C040F3"/>
    <w:rsid w:val="00C049BF"/>
    <w:rsid w:val="00C04AE2"/>
    <w:rsid w:val="00C05619"/>
    <w:rsid w:val="00C06FDF"/>
    <w:rsid w:val="00C07832"/>
    <w:rsid w:val="00C0797F"/>
    <w:rsid w:val="00C07BB0"/>
    <w:rsid w:val="00C07C02"/>
    <w:rsid w:val="00C1011D"/>
    <w:rsid w:val="00C105B8"/>
    <w:rsid w:val="00C10604"/>
    <w:rsid w:val="00C10B49"/>
    <w:rsid w:val="00C10C02"/>
    <w:rsid w:val="00C1148B"/>
    <w:rsid w:val="00C12536"/>
    <w:rsid w:val="00C13513"/>
    <w:rsid w:val="00C14295"/>
    <w:rsid w:val="00C14559"/>
    <w:rsid w:val="00C1581B"/>
    <w:rsid w:val="00C16176"/>
    <w:rsid w:val="00C16490"/>
    <w:rsid w:val="00C17CCA"/>
    <w:rsid w:val="00C17F6E"/>
    <w:rsid w:val="00C22663"/>
    <w:rsid w:val="00C226AA"/>
    <w:rsid w:val="00C23832"/>
    <w:rsid w:val="00C23D45"/>
    <w:rsid w:val="00C245BB"/>
    <w:rsid w:val="00C247D4"/>
    <w:rsid w:val="00C249FC"/>
    <w:rsid w:val="00C24F6A"/>
    <w:rsid w:val="00C251E8"/>
    <w:rsid w:val="00C271B9"/>
    <w:rsid w:val="00C27490"/>
    <w:rsid w:val="00C27CE4"/>
    <w:rsid w:val="00C31311"/>
    <w:rsid w:val="00C31D1E"/>
    <w:rsid w:val="00C32666"/>
    <w:rsid w:val="00C32C50"/>
    <w:rsid w:val="00C32F41"/>
    <w:rsid w:val="00C33080"/>
    <w:rsid w:val="00C333E3"/>
    <w:rsid w:val="00C33628"/>
    <w:rsid w:val="00C33ABA"/>
    <w:rsid w:val="00C34882"/>
    <w:rsid w:val="00C34CD3"/>
    <w:rsid w:val="00C3548F"/>
    <w:rsid w:val="00C35A90"/>
    <w:rsid w:val="00C35AE9"/>
    <w:rsid w:val="00C35B83"/>
    <w:rsid w:val="00C3608C"/>
    <w:rsid w:val="00C36E4C"/>
    <w:rsid w:val="00C36F30"/>
    <w:rsid w:val="00C37063"/>
    <w:rsid w:val="00C4058F"/>
    <w:rsid w:val="00C40CC7"/>
    <w:rsid w:val="00C41363"/>
    <w:rsid w:val="00C42626"/>
    <w:rsid w:val="00C4370F"/>
    <w:rsid w:val="00C437B9"/>
    <w:rsid w:val="00C43CC9"/>
    <w:rsid w:val="00C43F33"/>
    <w:rsid w:val="00C4465A"/>
    <w:rsid w:val="00C44988"/>
    <w:rsid w:val="00C44C04"/>
    <w:rsid w:val="00C45394"/>
    <w:rsid w:val="00C46F9F"/>
    <w:rsid w:val="00C47988"/>
    <w:rsid w:val="00C47F85"/>
    <w:rsid w:val="00C504D7"/>
    <w:rsid w:val="00C50A21"/>
    <w:rsid w:val="00C50CCB"/>
    <w:rsid w:val="00C50FA4"/>
    <w:rsid w:val="00C50FC6"/>
    <w:rsid w:val="00C51F74"/>
    <w:rsid w:val="00C52791"/>
    <w:rsid w:val="00C527FD"/>
    <w:rsid w:val="00C52C22"/>
    <w:rsid w:val="00C5463D"/>
    <w:rsid w:val="00C54681"/>
    <w:rsid w:val="00C55346"/>
    <w:rsid w:val="00C55D24"/>
    <w:rsid w:val="00C5679B"/>
    <w:rsid w:val="00C568C8"/>
    <w:rsid w:val="00C576E5"/>
    <w:rsid w:val="00C57D95"/>
    <w:rsid w:val="00C607DA"/>
    <w:rsid w:val="00C60885"/>
    <w:rsid w:val="00C6156E"/>
    <w:rsid w:val="00C61DB8"/>
    <w:rsid w:val="00C61FC9"/>
    <w:rsid w:val="00C628D9"/>
    <w:rsid w:val="00C63031"/>
    <w:rsid w:val="00C63B64"/>
    <w:rsid w:val="00C63BAE"/>
    <w:rsid w:val="00C646E4"/>
    <w:rsid w:val="00C65B21"/>
    <w:rsid w:val="00C6696B"/>
    <w:rsid w:val="00C67226"/>
    <w:rsid w:val="00C675C4"/>
    <w:rsid w:val="00C707EA"/>
    <w:rsid w:val="00C70CF3"/>
    <w:rsid w:val="00C71714"/>
    <w:rsid w:val="00C71EB7"/>
    <w:rsid w:val="00C723B9"/>
    <w:rsid w:val="00C72B5D"/>
    <w:rsid w:val="00C72EE8"/>
    <w:rsid w:val="00C745DA"/>
    <w:rsid w:val="00C74A4A"/>
    <w:rsid w:val="00C74C25"/>
    <w:rsid w:val="00C75CC4"/>
    <w:rsid w:val="00C76D11"/>
    <w:rsid w:val="00C77121"/>
    <w:rsid w:val="00C7783C"/>
    <w:rsid w:val="00C77EE9"/>
    <w:rsid w:val="00C801C4"/>
    <w:rsid w:val="00C8078F"/>
    <w:rsid w:val="00C80879"/>
    <w:rsid w:val="00C80D68"/>
    <w:rsid w:val="00C80FDF"/>
    <w:rsid w:val="00C81BD7"/>
    <w:rsid w:val="00C8218A"/>
    <w:rsid w:val="00C8247D"/>
    <w:rsid w:val="00C8283C"/>
    <w:rsid w:val="00C839D6"/>
    <w:rsid w:val="00C83C22"/>
    <w:rsid w:val="00C83EE3"/>
    <w:rsid w:val="00C83F04"/>
    <w:rsid w:val="00C84706"/>
    <w:rsid w:val="00C84840"/>
    <w:rsid w:val="00C84FF8"/>
    <w:rsid w:val="00C85581"/>
    <w:rsid w:val="00C85A56"/>
    <w:rsid w:val="00C86663"/>
    <w:rsid w:val="00C870F3"/>
    <w:rsid w:val="00C87875"/>
    <w:rsid w:val="00C8793D"/>
    <w:rsid w:val="00C87B6C"/>
    <w:rsid w:val="00C9070E"/>
    <w:rsid w:val="00C90FFB"/>
    <w:rsid w:val="00C91B57"/>
    <w:rsid w:val="00C91FC0"/>
    <w:rsid w:val="00C92618"/>
    <w:rsid w:val="00C9283D"/>
    <w:rsid w:val="00C92DF9"/>
    <w:rsid w:val="00C931BF"/>
    <w:rsid w:val="00C932DB"/>
    <w:rsid w:val="00C933F2"/>
    <w:rsid w:val="00C94E03"/>
    <w:rsid w:val="00C95D8D"/>
    <w:rsid w:val="00C96823"/>
    <w:rsid w:val="00C96BB1"/>
    <w:rsid w:val="00C970A5"/>
    <w:rsid w:val="00C97221"/>
    <w:rsid w:val="00C97B54"/>
    <w:rsid w:val="00CA0074"/>
    <w:rsid w:val="00CA0F02"/>
    <w:rsid w:val="00CA2F25"/>
    <w:rsid w:val="00CA3D5A"/>
    <w:rsid w:val="00CA5064"/>
    <w:rsid w:val="00CA550F"/>
    <w:rsid w:val="00CA67BC"/>
    <w:rsid w:val="00CA72CA"/>
    <w:rsid w:val="00CA7476"/>
    <w:rsid w:val="00CA7EC1"/>
    <w:rsid w:val="00CB1454"/>
    <w:rsid w:val="00CB1D25"/>
    <w:rsid w:val="00CB2417"/>
    <w:rsid w:val="00CB266B"/>
    <w:rsid w:val="00CB2CDD"/>
    <w:rsid w:val="00CB3220"/>
    <w:rsid w:val="00CB3D90"/>
    <w:rsid w:val="00CB3ED7"/>
    <w:rsid w:val="00CB4760"/>
    <w:rsid w:val="00CB496B"/>
    <w:rsid w:val="00CB4E52"/>
    <w:rsid w:val="00CB78F5"/>
    <w:rsid w:val="00CC09F7"/>
    <w:rsid w:val="00CC0E92"/>
    <w:rsid w:val="00CC159A"/>
    <w:rsid w:val="00CC1931"/>
    <w:rsid w:val="00CC1F6F"/>
    <w:rsid w:val="00CC21A8"/>
    <w:rsid w:val="00CC2524"/>
    <w:rsid w:val="00CC260B"/>
    <w:rsid w:val="00CC2733"/>
    <w:rsid w:val="00CC2D75"/>
    <w:rsid w:val="00CC2F1F"/>
    <w:rsid w:val="00CC324C"/>
    <w:rsid w:val="00CC411C"/>
    <w:rsid w:val="00CC422A"/>
    <w:rsid w:val="00CC4D65"/>
    <w:rsid w:val="00CC511A"/>
    <w:rsid w:val="00CC51B5"/>
    <w:rsid w:val="00CC52C4"/>
    <w:rsid w:val="00CC5AEF"/>
    <w:rsid w:val="00CC61CC"/>
    <w:rsid w:val="00CC7518"/>
    <w:rsid w:val="00CD03D6"/>
    <w:rsid w:val="00CD04DC"/>
    <w:rsid w:val="00CD0564"/>
    <w:rsid w:val="00CD0697"/>
    <w:rsid w:val="00CD2C79"/>
    <w:rsid w:val="00CD2EFC"/>
    <w:rsid w:val="00CD3A07"/>
    <w:rsid w:val="00CD3B18"/>
    <w:rsid w:val="00CD3B7D"/>
    <w:rsid w:val="00CD3F37"/>
    <w:rsid w:val="00CD455D"/>
    <w:rsid w:val="00CD4744"/>
    <w:rsid w:val="00CD4B1D"/>
    <w:rsid w:val="00CD5158"/>
    <w:rsid w:val="00CD56C9"/>
    <w:rsid w:val="00CD581E"/>
    <w:rsid w:val="00CD586E"/>
    <w:rsid w:val="00CD5AFC"/>
    <w:rsid w:val="00CD5D79"/>
    <w:rsid w:val="00CD6982"/>
    <w:rsid w:val="00CD6CC1"/>
    <w:rsid w:val="00CD6DD9"/>
    <w:rsid w:val="00CD7876"/>
    <w:rsid w:val="00CD7AA5"/>
    <w:rsid w:val="00CE0A1D"/>
    <w:rsid w:val="00CE11EF"/>
    <w:rsid w:val="00CE205C"/>
    <w:rsid w:val="00CE23D0"/>
    <w:rsid w:val="00CE2C7C"/>
    <w:rsid w:val="00CE2F97"/>
    <w:rsid w:val="00CE39FE"/>
    <w:rsid w:val="00CE3E6D"/>
    <w:rsid w:val="00CE42EE"/>
    <w:rsid w:val="00CE4B0F"/>
    <w:rsid w:val="00CE503E"/>
    <w:rsid w:val="00CE518E"/>
    <w:rsid w:val="00CE5208"/>
    <w:rsid w:val="00CE56B2"/>
    <w:rsid w:val="00CE6784"/>
    <w:rsid w:val="00CE6B7F"/>
    <w:rsid w:val="00CE6C23"/>
    <w:rsid w:val="00CE70F2"/>
    <w:rsid w:val="00CE732F"/>
    <w:rsid w:val="00CE7D1B"/>
    <w:rsid w:val="00CE7ECF"/>
    <w:rsid w:val="00CF007A"/>
    <w:rsid w:val="00CF00C7"/>
    <w:rsid w:val="00CF0A63"/>
    <w:rsid w:val="00CF0D0C"/>
    <w:rsid w:val="00CF16C5"/>
    <w:rsid w:val="00CF1AAC"/>
    <w:rsid w:val="00CF1B00"/>
    <w:rsid w:val="00CF422D"/>
    <w:rsid w:val="00CF45E7"/>
    <w:rsid w:val="00CF45EC"/>
    <w:rsid w:val="00CF4D85"/>
    <w:rsid w:val="00CF4F19"/>
    <w:rsid w:val="00CF55F3"/>
    <w:rsid w:val="00CF5EC5"/>
    <w:rsid w:val="00CF657B"/>
    <w:rsid w:val="00CF6822"/>
    <w:rsid w:val="00CF6D8A"/>
    <w:rsid w:val="00CF6DE1"/>
    <w:rsid w:val="00CF6EEE"/>
    <w:rsid w:val="00D00C2F"/>
    <w:rsid w:val="00D00D3F"/>
    <w:rsid w:val="00D017CC"/>
    <w:rsid w:val="00D020D6"/>
    <w:rsid w:val="00D0248A"/>
    <w:rsid w:val="00D02991"/>
    <w:rsid w:val="00D03016"/>
    <w:rsid w:val="00D03AE7"/>
    <w:rsid w:val="00D03BB5"/>
    <w:rsid w:val="00D050F6"/>
    <w:rsid w:val="00D060A9"/>
    <w:rsid w:val="00D06923"/>
    <w:rsid w:val="00D0709B"/>
    <w:rsid w:val="00D07162"/>
    <w:rsid w:val="00D101D6"/>
    <w:rsid w:val="00D11051"/>
    <w:rsid w:val="00D11883"/>
    <w:rsid w:val="00D12759"/>
    <w:rsid w:val="00D13619"/>
    <w:rsid w:val="00D1408B"/>
    <w:rsid w:val="00D1489C"/>
    <w:rsid w:val="00D14F18"/>
    <w:rsid w:val="00D1529E"/>
    <w:rsid w:val="00D15B13"/>
    <w:rsid w:val="00D16926"/>
    <w:rsid w:val="00D16F68"/>
    <w:rsid w:val="00D1756B"/>
    <w:rsid w:val="00D17858"/>
    <w:rsid w:val="00D20484"/>
    <w:rsid w:val="00D2064A"/>
    <w:rsid w:val="00D209FB"/>
    <w:rsid w:val="00D21778"/>
    <w:rsid w:val="00D21B93"/>
    <w:rsid w:val="00D22ACB"/>
    <w:rsid w:val="00D22C8D"/>
    <w:rsid w:val="00D22E70"/>
    <w:rsid w:val="00D23429"/>
    <w:rsid w:val="00D2536D"/>
    <w:rsid w:val="00D261BE"/>
    <w:rsid w:val="00D26239"/>
    <w:rsid w:val="00D278AE"/>
    <w:rsid w:val="00D30157"/>
    <w:rsid w:val="00D30C37"/>
    <w:rsid w:val="00D30CF1"/>
    <w:rsid w:val="00D31899"/>
    <w:rsid w:val="00D32B3C"/>
    <w:rsid w:val="00D33A42"/>
    <w:rsid w:val="00D33B39"/>
    <w:rsid w:val="00D33C0E"/>
    <w:rsid w:val="00D3443E"/>
    <w:rsid w:val="00D359FF"/>
    <w:rsid w:val="00D36B36"/>
    <w:rsid w:val="00D36CD6"/>
    <w:rsid w:val="00D36CFD"/>
    <w:rsid w:val="00D37044"/>
    <w:rsid w:val="00D37C4C"/>
    <w:rsid w:val="00D37CD4"/>
    <w:rsid w:val="00D37F0D"/>
    <w:rsid w:val="00D40CD5"/>
    <w:rsid w:val="00D40F21"/>
    <w:rsid w:val="00D40F78"/>
    <w:rsid w:val="00D4102D"/>
    <w:rsid w:val="00D411CF"/>
    <w:rsid w:val="00D41D19"/>
    <w:rsid w:val="00D42846"/>
    <w:rsid w:val="00D43051"/>
    <w:rsid w:val="00D43820"/>
    <w:rsid w:val="00D43A4F"/>
    <w:rsid w:val="00D44A1C"/>
    <w:rsid w:val="00D45490"/>
    <w:rsid w:val="00D468CB"/>
    <w:rsid w:val="00D46AC8"/>
    <w:rsid w:val="00D46C96"/>
    <w:rsid w:val="00D46F97"/>
    <w:rsid w:val="00D473C1"/>
    <w:rsid w:val="00D5012C"/>
    <w:rsid w:val="00D5090B"/>
    <w:rsid w:val="00D50E5A"/>
    <w:rsid w:val="00D50FBB"/>
    <w:rsid w:val="00D5239F"/>
    <w:rsid w:val="00D52E58"/>
    <w:rsid w:val="00D53828"/>
    <w:rsid w:val="00D53B73"/>
    <w:rsid w:val="00D53EA8"/>
    <w:rsid w:val="00D542C9"/>
    <w:rsid w:val="00D543B6"/>
    <w:rsid w:val="00D544BB"/>
    <w:rsid w:val="00D54BC0"/>
    <w:rsid w:val="00D55D66"/>
    <w:rsid w:val="00D5622B"/>
    <w:rsid w:val="00D56D9F"/>
    <w:rsid w:val="00D56ED5"/>
    <w:rsid w:val="00D56F77"/>
    <w:rsid w:val="00D57403"/>
    <w:rsid w:val="00D5760B"/>
    <w:rsid w:val="00D578B5"/>
    <w:rsid w:val="00D579BE"/>
    <w:rsid w:val="00D57FDA"/>
    <w:rsid w:val="00D6052D"/>
    <w:rsid w:val="00D60607"/>
    <w:rsid w:val="00D60AC9"/>
    <w:rsid w:val="00D61006"/>
    <w:rsid w:val="00D61254"/>
    <w:rsid w:val="00D62F52"/>
    <w:rsid w:val="00D644D2"/>
    <w:rsid w:val="00D6476A"/>
    <w:rsid w:val="00D64BF9"/>
    <w:rsid w:val="00D65D9C"/>
    <w:rsid w:val="00D66498"/>
    <w:rsid w:val="00D664C2"/>
    <w:rsid w:val="00D66C65"/>
    <w:rsid w:val="00D6701D"/>
    <w:rsid w:val="00D67ED6"/>
    <w:rsid w:val="00D70E53"/>
    <w:rsid w:val="00D71041"/>
    <w:rsid w:val="00D716D1"/>
    <w:rsid w:val="00D71734"/>
    <w:rsid w:val="00D72BB6"/>
    <w:rsid w:val="00D73358"/>
    <w:rsid w:val="00D747E8"/>
    <w:rsid w:val="00D74D7F"/>
    <w:rsid w:val="00D75095"/>
    <w:rsid w:val="00D759A8"/>
    <w:rsid w:val="00D75B77"/>
    <w:rsid w:val="00D762FB"/>
    <w:rsid w:val="00D763A6"/>
    <w:rsid w:val="00D778AA"/>
    <w:rsid w:val="00D77AB2"/>
    <w:rsid w:val="00D80044"/>
    <w:rsid w:val="00D80360"/>
    <w:rsid w:val="00D8068C"/>
    <w:rsid w:val="00D80ACE"/>
    <w:rsid w:val="00D80E8A"/>
    <w:rsid w:val="00D8166E"/>
    <w:rsid w:val="00D81680"/>
    <w:rsid w:val="00D8237C"/>
    <w:rsid w:val="00D838D5"/>
    <w:rsid w:val="00D848F9"/>
    <w:rsid w:val="00D849E6"/>
    <w:rsid w:val="00D85602"/>
    <w:rsid w:val="00D8597E"/>
    <w:rsid w:val="00D85C1F"/>
    <w:rsid w:val="00D860E8"/>
    <w:rsid w:val="00D862FC"/>
    <w:rsid w:val="00D867F9"/>
    <w:rsid w:val="00D86AFD"/>
    <w:rsid w:val="00D9023A"/>
    <w:rsid w:val="00D90275"/>
    <w:rsid w:val="00D90409"/>
    <w:rsid w:val="00D90F8A"/>
    <w:rsid w:val="00D919B2"/>
    <w:rsid w:val="00D922F9"/>
    <w:rsid w:val="00D9239F"/>
    <w:rsid w:val="00D93039"/>
    <w:rsid w:val="00D9389E"/>
    <w:rsid w:val="00D93B15"/>
    <w:rsid w:val="00D94176"/>
    <w:rsid w:val="00D94429"/>
    <w:rsid w:val="00D96A88"/>
    <w:rsid w:val="00D97F02"/>
    <w:rsid w:val="00DA0211"/>
    <w:rsid w:val="00DA0F3D"/>
    <w:rsid w:val="00DA185B"/>
    <w:rsid w:val="00DA1B0C"/>
    <w:rsid w:val="00DA1FBA"/>
    <w:rsid w:val="00DA231D"/>
    <w:rsid w:val="00DA2DC4"/>
    <w:rsid w:val="00DA37BA"/>
    <w:rsid w:val="00DA3EF9"/>
    <w:rsid w:val="00DA4004"/>
    <w:rsid w:val="00DA4097"/>
    <w:rsid w:val="00DA49BA"/>
    <w:rsid w:val="00DA4DD3"/>
    <w:rsid w:val="00DA5F80"/>
    <w:rsid w:val="00DA667A"/>
    <w:rsid w:val="00DA66F9"/>
    <w:rsid w:val="00DA7150"/>
    <w:rsid w:val="00DA7A6B"/>
    <w:rsid w:val="00DB04BB"/>
    <w:rsid w:val="00DB18BB"/>
    <w:rsid w:val="00DB2C75"/>
    <w:rsid w:val="00DB2C76"/>
    <w:rsid w:val="00DB2E81"/>
    <w:rsid w:val="00DB32C3"/>
    <w:rsid w:val="00DB339D"/>
    <w:rsid w:val="00DB355A"/>
    <w:rsid w:val="00DB3CD4"/>
    <w:rsid w:val="00DB40CE"/>
    <w:rsid w:val="00DB45CC"/>
    <w:rsid w:val="00DB4B27"/>
    <w:rsid w:val="00DB4CC1"/>
    <w:rsid w:val="00DB527F"/>
    <w:rsid w:val="00DB57EF"/>
    <w:rsid w:val="00DB6020"/>
    <w:rsid w:val="00DB7B3C"/>
    <w:rsid w:val="00DC060D"/>
    <w:rsid w:val="00DC1235"/>
    <w:rsid w:val="00DC22C6"/>
    <w:rsid w:val="00DC54F4"/>
    <w:rsid w:val="00DC5C8E"/>
    <w:rsid w:val="00DC6202"/>
    <w:rsid w:val="00DC6833"/>
    <w:rsid w:val="00DC6B56"/>
    <w:rsid w:val="00DC7C71"/>
    <w:rsid w:val="00DC7F4A"/>
    <w:rsid w:val="00DD09DC"/>
    <w:rsid w:val="00DD1150"/>
    <w:rsid w:val="00DD226E"/>
    <w:rsid w:val="00DD2AF6"/>
    <w:rsid w:val="00DD2DBD"/>
    <w:rsid w:val="00DD3F84"/>
    <w:rsid w:val="00DD5833"/>
    <w:rsid w:val="00DD58B7"/>
    <w:rsid w:val="00DD5E24"/>
    <w:rsid w:val="00DD5EEF"/>
    <w:rsid w:val="00DD5FC6"/>
    <w:rsid w:val="00DD62B2"/>
    <w:rsid w:val="00DD6491"/>
    <w:rsid w:val="00DD72F6"/>
    <w:rsid w:val="00DD7D9D"/>
    <w:rsid w:val="00DE09C6"/>
    <w:rsid w:val="00DE09E4"/>
    <w:rsid w:val="00DE12D9"/>
    <w:rsid w:val="00DE1410"/>
    <w:rsid w:val="00DE1583"/>
    <w:rsid w:val="00DE1BD4"/>
    <w:rsid w:val="00DE39C0"/>
    <w:rsid w:val="00DE3A92"/>
    <w:rsid w:val="00DE4F3A"/>
    <w:rsid w:val="00DE65E1"/>
    <w:rsid w:val="00DE69EC"/>
    <w:rsid w:val="00DE7287"/>
    <w:rsid w:val="00DE782C"/>
    <w:rsid w:val="00DF193C"/>
    <w:rsid w:val="00DF2C10"/>
    <w:rsid w:val="00DF33CF"/>
    <w:rsid w:val="00DF3ADA"/>
    <w:rsid w:val="00DF43C4"/>
    <w:rsid w:val="00DF43EE"/>
    <w:rsid w:val="00DF4D11"/>
    <w:rsid w:val="00DF4DB0"/>
    <w:rsid w:val="00DF576A"/>
    <w:rsid w:val="00DF5BAF"/>
    <w:rsid w:val="00DF5BE1"/>
    <w:rsid w:val="00DF5C7F"/>
    <w:rsid w:val="00DF60C4"/>
    <w:rsid w:val="00DF6D81"/>
    <w:rsid w:val="00DF7481"/>
    <w:rsid w:val="00DF7CAE"/>
    <w:rsid w:val="00E00836"/>
    <w:rsid w:val="00E008C2"/>
    <w:rsid w:val="00E009D2"/>
    <w:rsid w:val="00E00B10"/>
    <w:rsid w:val="00E00B84"/>
    <w:rsid w:val="00E00B94"/>
    <w:rsid w:val="00E01A55"/>
    <w:rsid w:val="00E02309"/>
    <w:rsid w:val="00E02819"/>
    <w:rsid w:val="00E02C42"/>
    <w:rsid w:val="00E03FD0"/>
    <w:rsid w:val="00E04199"/>
    <w:rsid w:val="00E04448"/>
    <w:rsid w:val="00E04588"/>
    <w:rsid w:val="00E0539B"/>
    <w:rsid w:val="00E05507"/>
    <w:rsid w:val="00E0602C"/>
    <w:rsid w:val="00E06E3C"/>
    <w:rsid w:val="00E073A3"/>
    <w:rsid w:val="00E07788"/>
    <w:rsid w:val="00E0785B"/>
    <w:rsid w:val="00E07D0A"/>
    <w:rsid w:val="00E108D0"/>
    <w:rsid w:val="00E10AA9"/>
    <w:rsid w:val="00E1196D"/>
    <w:rsid w:val="00E11F3B"/>
    <w:rsid w:val="00E12306"/>
    <w:rsid w:val="00E128CC"/>
    <w:rsid w:val="00E138BA"/>
    <w:rsid w:val="00E14914"/>
    <w:rsid w:val="00E14EC4"/>
    <w:rsid w:val="00E14F82"/>
    <w:rsid w:val="00E15CDC"/>
    <w:rsid w:val="00E15E96"/>
    <w:rsid w:val="00E15F48"/>
    <w:rsid w:val="00E165FA"/>
    <w:rsid w:val="00E1662D"/>
    <w:rsid w:val="00E16C78"/>
    <w:rsid w:val="00E17473"/>
    <w:rsid w:val="00E20A62"/>
    <w:rsid w:val="00E2146D"/>
    <w:rsid w:val="00E21549"/>
    <w:rsid w:val="00E24A0A"/>
    <w:rsid w:val="00E25AA3"/>
    <w:rsid w:val="00E266F2"/>
    <w:rsid w:val="00E2785B"/>
    <w:rsid w:val="00E27FB7"/>
    <w:rsid w:val="00E3055A"/>
    <w:rsid w:val="00E31467"/>
    <w:rsid w:val="00E3167A"/>
    <w:rsid w:val="00E3171E"/>
    <w:rsid w:val="00E31FB3"/>
    <w:rsid w:val="00E34B4D"/>
    <w:rsid w:val="00E358DA"/>
    <w:rsid w:val="00E35AC5"/>
    <w:rsid w:val="00E366BC"/>
    <w:rsid w:val="00E36F32"/>
    <w:rsid w:val="00E372D7"/>
    <w:rsid w:val="00E37B26"/>
    <w:rsid w:val="00E37F36"/>
    <w:rsid w:val="00E40ACD"/>
    <w:rsid w:val="00E40CC6"/>
    <w:rsid w:val="00E4118F"/>
    <w:rsid w:val="00E414E8"/>
    <w:rsid w:val="00E418A3"/>
    <w:rsid w:val="00E418DC"/>
    <w:rsid w:val="00E41DE1"/>
    <w:rsid w:val="00E428B7"/>
    <w:rsid w:val="00E4399D"/>
    <w:rsid w:val="00E442C6"/>
    <w:rsid w:val="00E4484A"/>
    <w:rsid w:val="00E44F34"/>
    <w:rsid w:val="00E46072"/>
    <w:rsid w:val="00E466FF"/>
    <w:rsid w:val="00E46B52"/>
    <w:rsid w:val="00E475F6"/>
    <w:rsid w:val="00E47900"/>
    <w:rsid w:val="00E47C0F"/>
    <w:rsid w:val="00E47C63"/>
    <w:rsid w:val="00E47F6C"/>
    <w:rsid w:val="00E50C4F"/>
    <w:rsid w:val="00E50CE7"/>
    <w:rsid w:val="00E5118A"/>
    <w:rsid w:val="00E5164D"/>
    <w:rsid w:val="00E5210E"/>
    <w:rsid w:val="00E52F19"/>
    <w:rsid w:val="00E53574"/>
    <w:rsid w:val="00E53758"/>
    <w:rsid w:val="00E53923"/>
    <w:rsid w:val="00E54851"/>
    <w:rsid w:val="00E54BE7"/>
    <w:rsid w:val="00E56152"/>
    <w:rsid w:val="00E56AA4"/>
    <w:rsid w:val="00E56E2C"/>
    <w:rsid w:val="00E577DE"/>
    <w:rsid w:val="00E60652"/>
    <w:rsid w:val="00E6088F"/>
    <w:rsid w:val="00E614F5"/>
    <w:rsid w:val="00E641A3"/>
    <w:rsid w:val="00E65DAD"/>
    <w:rsid w:val="00E661F4"/>
    <w:rsid w:val="00E6654A"/>
    <w:rsid w:val="00E66EAD"/>
    <w:rsid w:val="00E70B30"/>
    <w:rsid w:val="00E70DA3"/>
    <w:rsid w:val="00E70EBE"/>
    <w:rsid w:val="00E722A1"/>
    <w:rsid w:val="00E726F8"/>
    <w:rsid w:val="00E72888"/>
    <w:rsid w:val="00E72F87"/>
    <w:rsid w:val="00E73239"/>
    <w:rsid w:val="00E73BFE"/>
    <w:rsid w:val="00E7489B"/>
    <w:rsid w:val="00E74BA4"/>
    <w:rsid w:val="00E74DAF"/>
    <w:rsid w:val="00E74DE7"/>
    <w:rsid w:val="00E75DC3"/>
    <w:rsid w:val="00E76536"/>
    <w:rsid w:val="00E77265"/>
    <w:rsid w:val="00E803E7"/>
    <w:rsid w:val="00E8069C"/>
    <w:rsid w:val="00E80EF4"/>
    <w:rsid w:val="00E8185D"/>
    <w:rsid w:val="00E8216B"/>
    <w:rsid w:val="00E825FC"/>
    <w:rsid w:val="00E82CC0"/>
    <w:rsid w:val="00E8331C"/>
    <w:rsid w:val="00E8444C"/>
    <w:rsid w:val="00E84488"/>
    <w:rsid w:val="00E857A4"/>
    <w:rsid w:val="00E857E9"/>
    <w:rsid w:val="00E85EE9"/>
    <w:rsid w:val="00E867A1"/>
    <w:rsid w:val="00E86940"/>
    <w:rsid w:val="00E87016"/>
    <w:rsid w:val="00E87204"/>
    <w:rsid w:val="00E8745B"/>
    <w:rsid w:val="00E87731"/>
    <w:rsid w:val="00E91434"/>
    <w:rsid w:val="00E91A03"/>
    <w:rsid w:val="00E92487"/>
    <w:rsid w:val="00E92FD4"/>
    <w:rsid w:val="00E9348E"/>
    <w:rsid w:val="00E94E33"/>
    <w:rsid w:val="00E9519D"/>
    <w:rsid w:val="00E95563"/>
    <w:rsid w:val="00E965AB"/>
    <w:rsid w:val="00E96D41"/>
    <w:rsid w:val="00E970E0"/>
    <w:rsid w:val="00E9740F"/>
    <w:rsid w:val="00EA0689"/>
    <w:rsid w:val="00EA11BB"/>
    <w:rsid w:val="00EA1A1D"/>
    <w:rsid w:val="00EA2E96"/>
    <w:rsid w:val="00EA37E7"/>
    <w:rsid w:val="00EA3ACF"/>
    <w:rsid w:val="00EA3C65"/>
    <w:rsid w:val="00EA41E7"/>
    <w:rsid w:val="00EA4F2A"/>
    <w:rsid w:val="00EA544C"/>
    <w:rsid w:val="00EA59F1"/>
    <w:rsid w:val="00EA5F78"/>
    <w:rsid w:val="00EA634F"/>
    <w:rsid w:val="00EA7314"/>
    <w:rsid w:val="00EA7A3C"/>
    <w:rsid w:val="00EA7FCF"/>
    <w:rsid w:val="00EB139D"/>
    <w:rsid w:val="00EB2753"/>
    <w:rsid w:val="00EB2A7E"/>
    <w:rsid w:val="00EB2A86"/>
    <w:rsid w:val="00EB33F7"/>
    <w:rsid w:val="00EB44AA"/>
    <w:rsid w:val="00EB4589"/>
    <w:rsid w:val="00EB58EB"/>
    <w:rsid w:val="00EB5A1B"/>
    <w:rsid w:val="00EB62DB"/>
    <w:rsid w:val="00EB6949"/>
    <w:rsid w:val="00EB7447"/>
    <w:rsid w:val="00EC0499"/>
    <w:rsid w:val="00EC1666"/>
    <w:rsid w:val="00EC1881"/>
    <w:rsid w:val="00EC3D3D"/>
    <w:rsid w:val="00EC417E"/>
    <w:rsid w:val="00EC47D8"/>
    <w:rsid w:val="00EC51FE"/>
    <w:rsid w:val="00EC5649"/>
    <w:rsid w:val="00EC6466"/>
    <w:rsid w:val="00EC6D28"/>
    <w:rsid w:val="00ED150B"/>
    <w:rsid w:val="00ED1DCF"/>
    <w:rsid w:val="00ED1E96"/>
    <w:rsid w:val="00ED24A1"/>
    <w:rsid w:val="00ED2CA6"/>
    <w:rsid w:val="00ED3C91"/>
    <w:rsid w:val="00ED486F"/>
    <w:rsid w:val="00ED52B5"/>
    <w:rsid w:val="00ED53DC"/>
    <w:rsid w:val="00ED5D6B"/>
    <w:rsid w:val="00ED61F6"/>
    <w:rsid w:val="00ED679B"/>
    <w:rsid w:val="00ED6819"/>
    <w:rsid w:val="00ED6C8C"/>
    <w:rsid w:val="00ED7578"/>
    <w:rsid w:val="00EE0843"/>
    <w:rsid w:val="00EE0A77"/>
    <w:rsid w:val="00EE12A8"/>
    <w:rsid w:val="00EE18B9"/>
    <w:rsid w:val="00EE226E"/>
    <w:rsid w:val="00EE2933"/>
    <w:rsid w:val="00EE2D50"/>
    <w:rsid w:val="00EE3B06"/>
    <w:rsid w:val="00EE57DA"/>
    <w:rsid w:val="00EE6C28"/>
    <w:rsid w:val="00EE7B34"/>
    <w:rsid w:val="00EF06AD"/>
    <w:rsid w:val="00EF0C50"/>
    <w:rsid w:val="00EF0DE5"/>
    <w:rsid w:val="00EF128D"/>
    <w:rsid w:val="00EF22B0"/>
    <w:rsid w:val="00EF2A1B"/>
    <w:rsid w:val="00EF2B28"/>
    <w:rsid w:val="00EF466F"/>
    <w:rsid w:val="00EF4CB6"/>
    <w:rsid w:val="00EF5F33"/>
    <w:rsid w:val="00EF5F78"/>
    <w:rsid w:val="00EF7191"/>
    <w:rsid w:val="00EF720A"/>
    <w:rsid w:val="00F0083F"/>
    <w:rsid w:val="00F0123A"/>
    <w:rsid w:val="00F026DC"/>
    <w:rsid w:val="00F02C81"/>
    <w:rsid w:val="00F039A5"/>
    <w:rsid w:val="00F04028"/>
    <w:rsid w:val="00F04462"/>
    <w:rsid w:val="00F04D90"/>
    <w:rsid w:val="00F05008"/>
    <w:rsid w:val="00F05069"/>
    <w:rsid w:val="00F050F1"/>
    <w:rsid w:val="00F052F9"/>
    <w:rsid w:val="00F058C9"/>
    <w:rsid w:val="00F05C78"/>
    <w:rsid w:val="00F067D0"/>
    <w:rsid w:val="00F0692D"/>
    <w:rsid w:val="00F06A59"/>
    <w:rsid w:val="00F076CF"/>
    <w:rsid w:val="00F101E0"/>
    <w:rsid w:val="00F1086A"/>
    <w:rsid w:val="00F109E9"/>
    <w:rsid w:val="00F114A0"/>
    <w:rsid w:val="00F11E9D"/>
    <w:rsid w:val="00F11ECA"/>
    <w:rsid w:val="00F1201D"/>
    <w:rsid w:val="00F122F5"/>
    <w:rsid w:val="00F123E7"/>
    <w:rsid w:val="00F1283C"/>
    <w:rsid w:val="00F12C49"/>
    <w:rsid w:val="00F13614"/>
    <w:rsid w:val="00F13855"/>
    <w:rsid w:val="00F14476"/>
    <w:rsid w:val="00F14BF9"/>
    <w:rsid w:val="00F15704"/>
    <w:rsid w:val="00F1655B"/>
    <w:rsid w:val="00F1795B"/>
    <w:rsid w:val="00F2034E"/>
    <w:rsid w:val="00F20524"/>
    <w:rsid w:val="00F2079A"/>
    <w:rsid w:val="00F21186"/>
    <w:rsid w:val="00F21803"/>
    <w:rsid w:val="00F22512"/>
    <w:rsid w:val="00F22940"/>
    <w:rsid w:val="00F22980"/>
    <w:rsid w:val="00F230FA"/>
    <w:rsid w:val="00F24421"/>
    <w:rsid w:val="00F252CF"/>
    <w:rsid w:val="00F25452"/>
    <w:rsid w:val="00F255B0"/>
    <w:rsid w:val="00F26516"/>
    <w:rsid w:val="00F26A0D"/>
    <w:rsid w:val="00F27293"/>
    <w:rsid w:val="00F303EA"/>
    <w:rsid w:val="00F31132"/>
    <w:rsid w:val="00F3158F"/>
    <w:rsid w:val="00F316A3"/>
    <w:rsid w:val="00F318F3"/>
    <w:rsid w:val="00F322DD"/>
    <w:rsid w:val="00F32397"/>
    <w:rsid w:val="00F326D1"/>
    <w:rsid w:val="00F32F03"/>
    <w:rsid w:val="00F33395"/>
    <w:rsid w:val="00F33719"/>
    <w:rsid w:val="00F33C58"/>
    <w:rsid w:val="00F34038"/>
    <w:rsid w:val="00F340E9"/>
    <w:rsid w:val="00F3415A"/>
    <w:rsid w:val="00F3427F"/>
    <w:rsid w:val="00F343A7"/>
    <w:rsid w:val="00F344E3"/>
    <w:rsid w:val="00F347A3"/>
    <w:rsid w:val="00F34907"/>
    <w:rsid w:val="00F35AF4"/>
    <w:rsid w:val="00F3603B"/>
    <w:rsid w:val="00F367B3"/>
    <w:rsid w:val="00F3710C"/>
    <w:rsid w:val="00F373E0"/>
    <w:rsid w:val="00F3757B"/>
    <w:rsid w:val="00F37B82"/>
    <w:rsid w:val="00F402C3"/>
    <w:rsid w:val="00F40584"/>
    <w:rsid w:val="00F408E7"/>
    <w:rsid w:val="00F409DA"/>
    <w:rsid w:val="00F41AC2"/>
    <w:rsid w:val="00F41AEB"/>
    <w:rsid w:val="00F41FC4"/>
    <w:rsid w:val="00F43AD6"/>
    <w:rsid w:val="00F44E9D"/>
    <w:rsid w:val="00F458E7"/>
    <w:rsid w:val="00F46DDD"/>
    <w:rsid w:val="00F47E34"/>
    <w:rsid w:val="00F50225"/>
    <w:rsid w:val="00F5065D"/>
    <w:rsid w:val="00F515B7"/>
    <w:rsid w:val="00F5258E"/>
    <w:rsid w:val="00F526E8"/>
    <w:rsid w:val="00F528FA"/>
    <w:rsid w:val="00F531DC"/>
    <w:rsid w:val="00F531E1"/>
    <w:rsid w:val="00F53375"/>
    <w:rsid w:val="00F54D02"/>
    <w:rsid w:val="00F54EBD"/>
    <w:rsid w:val="00F55F01"/>
    <w:rsid w:val="00F55FF7"/>
    <w:rsid w:val="00F5603B"/>
    <w:rsid w:val="00F5654E"/>
    <w:rsid w:val="00F56622"/>
    <w:rsid w:val="00F5709E"/>
    <w:rsid w:val="00F575DE"/>
    <w:rsid w:val="00F57AA9"/>
    <w:rsid w:val="00F606D4"/>
    <w:rsid w:val="00F607F2"/>
    <w:rsid w:val="00F61051"/>
    <w:rsid w:val="00F62522"/>
    <w:rsid w:val="00F6342C"/>
    <w:rsid w:val="00F6453C"/>
    <w:rsid w:val="00F64822"/>
    <w:rsid w:val="00F6522D"/>
    <w:rsid w:val="00F6620A"/>
    <w:rsid w:val="00F664CC"/>
    <w:rsid w:val="00F66576"/>
    <w:rsid w:val="00F66A6E"/>
    <w:rsid w:val="00F66C51"/>
    <w:rsid w:val="00F6723C"/>
    <w:rsid w:val="00F6743B"/>
    <w:rsid w:val="00F6786A"/>
    <w:rsid w:val="00F67B21"/>
    <w:rsid w:val="00F67C8E"/>
    <w:rsid w:val="00F7008E"/>
    <w:rsid w:val="00F70DE7"/>
    <w:rsid w:val="00F7105C"/>
    <w:rsid w:val="00F715BE"/>
    <w:rsid w:val="00F71660"/>
    <w:rsid w:val="00F71C8F"/>
    <w:rsid w:val="00F726AD"/>
    <w:rsid w:val="00F73392"/>
    <w:rsid w:val="00F74526"/>
    <w:rsid w:val="00F758D4"/>
    <w:rsid w:val="00F766D7"/>
    <w:rsid w:val="00F77892"/>
    <w:rsid w:val="00F80323"/>
    <w:rsid w:val="00F809F2"/>
    <w:rsid w:val="00F80BA6"/>
    <w:rsid w:val="00F80CD0"/>
    <w:rsid w:val="00F80E9B"/>
    <w:rsid w:val="00F8158F"/>
    <w:rsid w:val="00F815A8"/>
    <w:rsid w:val="00F81BB9"/>
    <w:rsid w:val="00F82540"/>
    <w:rsid w:val="00F8345F"/>
    <w:rsid w:val="00F8384A"/>
    <w:rsid w:val="00F83BB5"/>
    <w:rsid w:val="00F8434D"/>
    <w:rsid w:val="00F84840"/>
    <w:rsid w:val="00F8492F"/>
    <w:rsid w:val="00F863FE"/>
    <w:rsid w:val="00F864F1"/>
    <w:rsid w:val="00F865E7"/>
    <w:rsid w:val="00F868CA"/>
    <w:rsid w:val="00F86EDD"/>
    <w:rsid w:val="00F874A0"/>
    <w:rsid w:val="00F87523"/>
    <w:rsid w:val="00F90BEE"/>
    <w:rsid w:val="00F91420"/>
    <w:rsid w:val="00F91C9A"/>
    <w:rsid w:val="00F9208D"/>
    <w:rsid w:val="00F9277B"/>
    <w:rsid w:val="00F92B56"/>
    <w:rsid w:val="00F93356"/>
    <w:rsid w:val="00F93D8F"/>
    <w:rsid w:val="00F9450C"/>
    <w:rsid w:val="00F94D0B"/>
    <w:rsid w:val="00F97206"/>
    <w:rsid w:val="00F97BBD"/>
    <w:rsid w:val="00FA0291"/>
    <w:rsid w:val="00FA0746"/>
    <w:rsid w:val="00FA09A4"/>
    <w:rsid w:val="00FA0C35"/>
    <w:rsid w:val="00FA0D3C"/>
    <w:rsid w:val="00FA0EE6"/>
    <w:rsid w:val="00FA112A"/>
    <w:rsid w:val="00FA167E"/>
    <w:rsid w:val="00FA1743"/>
    <w:rsid w:val="00FA1793"/>
    <w:rsid w:val="00FA1D39"/>
    <w:rsid w:val="00FA314A"/>
    <w:rsid w:val="00FA31E7"/>
    <w:rsid w:val="00FA4253"/>
    <w:rsid w:val="00FA46E5"/>
    <w:rsid w:val="00FA6BD3"/>
    <w:rsid w:val="00FA742A"/>
    <w:rsid w:val="00FA75FC"/>
    <w:rsid w:val="00FA7844"/>
    <w:rsid w:val="00FB0971"/>
    <w:rsid w:val="00FB1AA8"/>
    <w:rsid w:val="00FB1CED"/>
    <w:rsid w:val="00FB2825"/>
    <w:rsid w:val="00FB32C6"/>
    <w:rsid w:val="00FB3506"/>
    <w:rsid w:val="00FB4E2F"/>
    <w:rsid w:val="00FB5085"/>
    <w:rsid w:val="00FB5DC2"/>
    <w:rsid w:val="00FB5FD8"/>
    <w:rsid w:val="00FB6014"/>
    <w:rsid w:val="00FB691B"/>
    <w:rsid w:val="00FB6E7B"/>
    <w:rsid w:val="00FC00A3"/>
    <w:rsid w:val="00FC07FF"/>
    <w:rsid w:val="00FC0DB1"/>
    <w:rsid w:val="00FC128D"/>
    <w:rsid w:val="00FC16FE"/>
    <w:rsid w:val="00FC25F1"/>
    <w:rsid w:val="00FC29E0"/>
    <w:rsid w:val="00FC3199"/>
    <w:rsid w:val="00FC3406"/>
    <w:rsid w:val="00FC34BB"/>
    <w:rsid w:val="00FC39CD"/>
    <w:rsid w:val="00FC3DCC"/>
    <w:rsid w:val="00FC438C"/>
    <w:rsid w:val="00FC4BC7"/>
    <w:rsid w:val="00FC51FE"/>
    <w:rsid w:val="00FC5221"/>
    <w:rsid w:val="00FC58BE"/>
    <w:rsid w:val="00FC64DA"/>
    <w:rsid w:val="00FC65F5"/>
    <w:rsid w:val="00FC680B"/>
    <w:rsid w:val="00FC6E51"/>
    <w:rsid w:val="00FC76B1"/>
    <w:rsid w:val="00FC7C4F"/>
    <w:rsid w:val="00FD0085"/>
    <w:rsid w:val="00FD010B"/>
    <w:rsid w:val="00FD011E"/>
    <w:rsid w:val="00FD02D3"/>
    <w:rsid w:val="00FD034E"/>
    <w:rsid w:val="00FD1824"/>
    <w:rsid w:val="00FD1901"/>
    <w:rsid w:val="00FD1D41"/>
    <w:rsid w:val="00FD2028"/>
    <w:rsid w:val="00FD22E3"/>
    <w:rsid w:val="00FD24A6"/>
    <w:rsid w:val="00FD2D56"/>
    <w:rsid w:val="00FD35DD"/>
    <w:rsid w:val="00FD3972"/>
    <w:rsid w:val="00FD3B74"/>
    <w:rsid w:val="00FD3E0A"/>
    <w:rsid w:val="00FD44A8"/>
    <w:rsid w:val="00FD49EA"/>
    <w:rsid w:val="00FD58E3"/>
    <w:rsid w:val="00FD5BB0"/>
    <w:rsid w:val="00FD6151"/>
    <w:rsid w:val="00FD6390"/>
    <w:rsid w:val="00FD66E2"/>
    <w:rsid w:val="00FD67A9"/>
    <w:rsid w:val="00FD7024"/>
    <w:rsid w:val="00FD7465"/>
    <w:rsid w:val="00FE00EA"/>
    <w:rsid w:val="00FE1069"/>
    <w:rsid w:val="00FE3F16"/>
    <w:rsid w:val="00FE479F"/>
    <w:rsid w:val="00FE4FD5"/>
    <w:rsid w:val="00FE5191"/>
    <w:rsid w:val="00FE60BB"/>
    <w:rsid w:val="00FE7CE9"/>
    <w:rsid w:val="00FF011F"/>
    <w:rsid w:val="00FF2433"/>
    <w:rsid w:val="00FF33B8"/>
    <w:rsid w:val="00FF3763"/>
    <w:rsid w:val="00FF3E90"/>
    <w:rsid w:val="00FF4190"/>
    <w:rsid w:val="00FF49D2"/>
    <w:rsid w:val="00FF65CC"/>
    <w:rsid w:val="00FF6B89"/>
    <w:rsid w:val="00FF72CA"/>
    <w:rsid w:val="00FF7667"/>
    <w:rsid w:val="1F4C35C2"/>
    <w:rsid w:val="33E94441"/>
    <w:rsid w:val="3FEFA863"/>
    <w:rsid w:val="4F46156A"/>
    <w:rsid w:val="77EE2056"/>
    <w:rsid w:val="7A5114C1"/>
    <w:rsid w:val="BCFE212F"/>
    <w:rsid w:val="FFED05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0"/>
    <w:unhideWhenUsed/>
    <w:qFormat/>
    <w:uiPriority w:val="0"/>
    <w:pPr>
      <w:keepNext/>
      <w:keepLines/>
      <w:spacing w:before="260" w:after="260" w:line="416" w:lineRule="auto"/>
      <w:outlineLvl w:val="2"/>
    </w:pPr>
    <w:rPr>
      <w:rFonts w:ascii="等线" w:hAnsi="等线" w:eastAsia="等线" w:cs="Times New Roman"/>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spacing w:line="240" w:lineRule="auto"/>
      <w:ind w:left="840" w:leftChars="400"/>
    </w:pPr>
    <w:rPr>
      <w:rFonts w:ascii="等线" w:hAnsi="等线" w:eastAsia="等线" w:cs="Times New Roman"/>
    </w:rPr>
  </w:style>
  <w:style w:type="paragraph" w:styleId="6">
    <w:name w:val="Date"/>
    <w:basedOn w:val="1"/>
    <w:next w:val="1"/>
    <w:link w:val="21"/>
    <w:unhideWhenUsed/>
    <w:qFormat/>
    <w:uiPriority w:val="99"/>
    <w:pPr>
      <w:ind w:left="100" w:leftChars="2500"/>
    </w:pPr>
  </w:style>
  <w:style w:type="paragraph" w:styleId="7">
    <w:name w:val="Balloon Text"/>
    <w:basedOn w:val="1"/>
    <w:link w:val="22"/>
    <w:unhideWhenUsed/>
    <w:qFormat/>
    <w:uiPriority w:val="99"/>
    <w:pPr>
      <w:spacing w:line="240" w:lineRule="auto"/>
    </w:pPr>
    <w:rPr>
      <w:sz w:val="18"/>
      <w:szCs w:val="18"/>
    </w:rPr>
  </w:style>
  <w:style w:type="paragraph" w:styleId="8">
    <w:name w:val="footer"/>
    <w:basedOn w:val="1"/>
    <w:link w:val="23"/>
    <w:unhideWhenUsed/>
    <w:qFormat/>
    <w:uiPriority w:val="99"/>
    <w:pPr>
      <w:tabs>
        <w:tab w:val="center" w:pos="4153"/>
        <w:tab w:val="right" w:pos="8306"/>
      </w:tabs>
      <w:snapToGrid w:val="0"/>
      <w:spacing w:line="240" w:lineRule="auto"/>
      <w:jc w:val="left"/>
    </w:pPr>
    <w:rPr>
      <w:rFonts w:ascii="等线" w:hAnsi="等线" w:eastAsia="等线" w:cs="Times New Roman"/>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rFonts w:ascii="等线" w:hAnsi="等线" w:eastAsia="等线" w:cs="Times New Roman"/>
      <w:sz w:val="18"/>
      <w:szCs w:val="18"/>
    </w:rPr>
  </w:style>
  <w:style w:type="paragraph" w:styleId="10">
    <w:name w:val="toc 1"/>
    <w:basedOn w:val="1"/>
    <w:next w:val="1"/>
    <w:unhideWhenUsed/>
    <w:qFormat/>
    <w:uiPriority w:val="39"/>
    <w:pPr>
      <w:tabs>
        <w:tab w:val="left" w:pos="1050"/>
        <w:tab w:val="right" w:leader="dot" w:pos="13948"/>
      </w:tabs>
      <w:spacing w:line="240" w:lineRule="auto"/>
      <w:ind w:firstLine="480"/>
    </w:pPr>
    <w:rPr>
      <w:rFonts w:ascii="等线" w:hAnsi="等线" w:eastAsia="等线" w:cs="Times New Roman"/>
    </w:rPr>
  </w:style>
  <w:style w:type="paragraph" w:styleId="11">
    <w:name w:val="Subtitle"/>
    <w:basedOn w:val="1"/>
    <w:next w:val="1"/>
    <w:link w:val="25"/>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12">
    <w:name w:val="toc 2"/>
    <w:basedOn w:val="1"/>
    <w:next w:val="1"/>
    <w:unhideWhenUsed/>
    <w:qFormat/>
    <w:uiPriority w:val="39"/>
    <w:pPr>
      <w:spacing w:line="240" w:lineRule="auto"/>
      <w:ind w:left="420" w:leftChars="200"/>
    </w:pPr>
    <w:rPr>
      <w:rFonts w:ascii="等线" w:hAnsi="等线" w:eastAsia="等线" w:cs="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line number"/>
    <w:basedOn w:val="15"/>
    <w:unhideWhenUsed/>
    <w:qFormat/>
    <w:uiPriority w:val="99"/>
  </w:style>
  <w:style w:type="character" w:styleId="17">
    <w:name w:val="Hyperlink"/>
    <w:basedOn w:val="15"/>
    <w:unhideWhenUsed/>
    <w:qFormat/>
    <w:uiPriority w:val="99"/>
    <w:rPr>
      <w:color w:val="0563C1"/>
      <w:u w:val="single"/>
    </w:rPr>
  </w:style>
  <w:style w:type="character" w:customStyle="1" w:styleId="18">
    <w:name w:val="标题 1 Char"/>
    <w:basedOn w:val="15"/>
    <w:link w:val="2"/>
    <w:qFormat/>
    <w:uiPriority w:val="9"/>
    <w:rPr>
      <w:rFonts w:ascii="Times New Roman" w:hAnsi="Times New Roman" w:eastAsia="宋体" w:cs="Times New Roman"/>
      <w:b/>
      <w:bCs/>
      <w:kern w:val="44"/>
      <w:sz w:val="44"/>
      <w:szCs w:val="44"/>
    </w:rPr>
  </w:style>
  <w:style w:type="character" w:customStyle="1" w:styleId="19">
    <w:name w:val="标题 2 Char"/>
    <w:basedOn w:val="15"/>
    <w:link w:val="3"/>
    <w:semiHidden/>
    <w:qFormat/>
    <w:uiPriority w:val="0"/>
    <w:rPr>
      <w:rFonts w:ascii="等线 Light" w:hAnsi="等线 Light" w:eastAsia="等线 Light" w:cs="Times New Roman"/>
      <w:b/>
      <w:bCs/>
      <w:sz w:val="32"/>
      <w:szCs w:val="32"/>
    </w:rPr>
  </w:style>
  <w:style w:type="character" w:customStyle="1" w:styleId="20">
    <w:name w:val="标题 3 Char"/>
    <w:basedOn w:val="15"/>
    <w:link w:val="4"/>
    <w:qFormat/>
    <w:uiPriority w:val="0"/>
    <w:rPr>
      <w:b/>
      <w:bCs/>
      <w:sz w:val="32"/>
      <w:szCs w:val="32"/>
    </w:rPr>
  </w:style>
  <w:style w:type="character" w:customStyle="1" w:styleId="21">
    <w:name w:val="日期 Char"/>
    <w:basedOn w:val="15"/>
    <w:link w:val="6"/>
    <w:semiHidden/>
    <w:qFormat/>
    <w:uiPriority w:val="99"/>
    <w:rPr>
      <w:rFonts w:ascii="Times New Roman" w:hAnsi="Times New Roman" w:eastAsia="宋体" w:cs="Times New Roman"/>
      <w:kern w:val="2"/>
      <w:sz w:val="21"/>
      <w:szCs w:val="22"/>
    </w:rPr>
  </w:style>
  <w:style w:type="character" w:customStyle="1" w:styleId="22">
    <w:name w:val="批注框文本 Char"/>
    <w:basedOn w:val="15"/>
    <w:link w:val="7"/>
    <w:semiHidden/>
    <w:qFormat/>
    <w:uiPriority w:val="99"/>
    <w:rPr>
      <w:rFonts w:ascii="Times New Roman" w:hAnsi="Times New Roman" w:eastAsia="宋体" w:cs="Times New Roman"/>
      <w:kern w:val="2"/>
      <w:sz w:val="18"/>
      <w:szCs w:val="18"/>
    </w:rPr>
  </w:style>
  <w:style w:type="character" w:customStyle="1" w:styleId="23">
    <w:name w:val="页脚 Char"/>
    <w:basedOn w:val="15"/>
    <w:link w:val="8"/>
    <w:qFormat/>
    <w:uiPriority w:val="99"/>
    <w:rPr>
      <w:sz w:val="18"/>
      <w:szCs w:val="18"/>
    </w:rPr>
  </w:style>
  <w:style w:type="character" w:customStyle="1" w:styleId="24">
    <w:name w:val="页眉 Char"/>
    <w:basedOn w:val="15"/>
    <w:link w:val="9"/>
    <w:qFormat/>
    <w:uiPriority w:val="99"/>
    <w:rPr>
      <w:sz w:val="18"/>
      <w:szCs w:val="18"/>
    </w:rPr>
  </w:style>
  <w:style w:type="character" w:customStyle="1" w:styleId="25">
    <w:name w:val="副标题 Char"/>
    <w:basedOn w:val="15"/>
    <w:link w:val="11"/>
    <w:qFormat/>
    <w:uiPriority w:val="11"/>
    <w:rPr>
      <w:rFonts w:ascii="等线 Light" w:hAnsi="等线 Light" w:eastAsia="宋体" w:cs="Times New Roman"/>
      <w:b/>
      <w:bCs/>
      <w:kern w:val="28"/>
      <w:sz w:val="32"/>
      <w:szCs w:val="32"/>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标准标志"/>
    <w:basedOn w:val="26"/>
    <w:next w:val="26"/>
    <w:qFormat/>
    <w:uiPriority w:val="99"/>
    <w:rPr>
      <w:color w:val="auto"/>
    </w:rPr>
  </w:style>
  <w:style w:type="paragraph" w:customStyle="1" w:styleId="28">
    <w:name w:val="其他标准称谓"/>
    <w:basedOn w:val="26"/>
    <w:next w:val="26"/>
    <w:qFormat/>
    <w:uiPriority w:val="99"/>
    <w:rPr>
      <w:color w:val="auto"/>
    </w:rPr>
  </w:style>
  <w:style w:type="paragraph" w:customStyle="1" w:styleId="29">
    <w:name w:val="TOC 标题3"/>
    <w:basedOn w:val="2"/>
    <w:next w:val="1"/>
    <w:unhideWhenUsed/>
    <w:qFormat/>
    <w:uiPriority w:val="39"/>
    <w:pPr>
      <w:outlineLvl w:val="9"/>
    </w:pPr>
  </w:style>
  <w:style w:type="character" w:styleId="30">
    <w:name w:val="Placeholder Text"/>
    <w:basedOn w:val="15"/>
    <w:semiHidden/>
    <w:qFormat/>
    <w:uiPriority w:val="99"/>
    <w:rPr>
      <w:color w:val="808080"/>
    </w:rPr>
  </w:style>
  <w:style w:type="paragraph" w:styleId="31">
    <w:name w:val="List Paragraph"/>
    <w:basedOn w:val="1"/>
    <w:qFormat/>
    <w:uiPriority w:val="34"/>
    <w:pPr>
      <w:ind w:firstLine="420" w:firstLineChars="200"/>
    </w:pPr>
  </w:style>
  <w:style w:type="paragraph" w:customStyle="1" w:styleId="32">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3">
    <w:name w:val="章标题"/>
    <w:next w:val="32"/>
    <w:qFormat/>
    <w:uiPriority w:val="0"/>
    <w:pPr>
      <w:numPr>
        <w:ilvl w:val="0"/>
        <w:numId w:val="1"/>
      </w:numPr>
      <w:spacing w:before="100" w:beforeLines="100" w:after="100" w:afterLines="100"/>
      <w:jc w:val="center"/>
      <w:outlineLvl w:val="1"/>
    </w:pPr>
    <w:rPr>
      <w:rFonts w:ascii="Times New Roman" w:hAnsi="Times New Roman" w:eastAsia="宋体" w:cs="Times New Roman"/>
      <w:sz w:val="28"/>
      <w:lang w:val="en-US" w:eastAsia="zh-CN" w:bidi="ar-SA"/>
    </w:rPr>
  </w:style>
  <w:style w:type="paragraph" w:customStyle="1" w:styleId="34">
    <w:name w:val="一级条标题"/>
    <w:next w:val="32"/>
    <w:qFormat/>
    <w:uiPriority w:val="0"/>
    <w:pPr>
      <w:numPr>
        <w:ilvl w:val="1"/>
        <w:numId w:val="1"/>
      </w:numPr>
      <w:spacing w:before="50" w:beforeLines="50" w:after="50" w:afterLines="50"/>
      <w:ind w:left="0"/>
    </w:pPr>
    <w:rPr>
      <w:rFonts w:ascii="宋体" w:hAnsi="Times New Roman" w:eastAsia="宋体" w:cs="Times New Roman"/>
      <w:sz w:val="24"/>
      <w:szCs w:val="21"/>
      <w:lang w:val="en-US" w:eastAsia="zh-CN" w:bidi="ar-SA"/>
    </w:rPr>
  </w:style>
  <w:style w:type="paragraph" w:customStyle="1" w:styleId="35">
    <w:name w:val="二级条标题"/>
    <w:basedOn w:val="34"/>
    <w:next w:val="32"/>
    <w:qFormat/>
    <w:uiPriority w:val="0"/>
    <w:pPr>
      <w:numPr>
        <w:ilvl w:val="2"/>
      </w:numPr>
    </w:pPr>
  </w:style>
  <w:style w:type="paragraph" w:customStyle="1" w:styleId="36">
    <w:name w:val="三级条标题"/>
    <w:basedOn w:val="35"/>
    <w:next w:val="32"/>
    <w:qFormat/>
    <w:uiPriority w:val="0"/>
    <w:pPr>
      <w:numPr>
        <w:ilvl w:val="3"/>
      </w:numPr>
      <w:ind w:left="0"/>
    </w:pPr>
  </w:style>
  <w:style w:type="paragraph" w:customStyle="1" w:styleId="37">
    <w:name w:val="四级条标题"/>
    <w:basedOn w:val="36"/>
    <w:next w:val="32"/>
    <w:qFormat/>
    <w:uiPriority w:val="0"/>
    <w:pPr>
      <w:numPr>
        <w:ilvl w:val="4"/>
      </w:numPr>
    </w:pPr>
  </w:style>
  <w:style w:type="paragraph" w:customStyle="1" w:styleId="38">
    <w:name w:val="五级条标题"/>
    <w:basedOn w:val="37"/>
    <w:next w:val="32"/>
    <w:qFormat/>
    <w:uiPriority w:val="0"/>
    <w:pPr>
      <w:numPr>
        <w:ilvl w:val="5"/>
      </w:numPr>
    </w:pPr>
  </w:style>
  <w:style w:type="paragraph" w:customStyle="1" w:styleId="39">
    <w:name w:val="二级无标题条"/>
    <w:basedOn w:val="35"/>
    <w:qFormat/>
    <w:uiPriority w:val="0"/>
    <w:rPr>
      <w:rFonts w:ascii="等线 Light" w:eastAsia="等线 Light"/>
    </w:rPr>
  </w:style>
  <w:style w:type="paragraph" w:customStyle="1" w:styleId="40">
    <w:name w:val="三级无标题条"/>
    <w:basedOn w:val="36"/>
    <w:qFormat/>
    <w:uiPriority w:val="0"/>
    <w:pPr>
      <w:numPr>
        <w:ilvl w:val="0"/>
        <w:numId w:val="0"/>
      </w:numPr>
      <w:tabs>
        <w:tab w:val="left" w:pos="360"/>
      </w:tabs>
      <w:spacing w:before="0" w:beforeLines="0" w:after="0" w:afterLines="0" w:line="300" w:lineRule="auto"/>
    </w:pPr>
    <w:rPr>
      <w:rFonts w:ascii="等线 Light" w:eastAsia="等线 Light"/>
    </w:rPr>
  </w:style>
  <w:style w:type="paragraph" w:customStyle="1" w:styleId="41">
    <w:name w:val="字母编号列项（一级）"/>
    <w:qFormat/>
    <w:uiPriority w:val="0"/>
    <w:pPr>
      <w:tabs>
        <w:tab w:val="left" w:pos="840"/>
      </w:tabs>
      <w:jc w:val="both"/>
    </w:pPr>
    <w:rPr>
      <w:rFonts w:ascii="宋体" w:hAnsi="Times New Roman" w:eastAsia="宋体" w:cs="Times New Roman"/>
      <w:sz w:val="21"/>
      <w:lang w:val="en-US" w:eastAsia="zh-CN" w:bidi="ar-SA"/>
    </w:rPr>
  </w:style>
  <w:style w:type="character" w:customStyle="1" w:styleId="42">
    <w:name w:val="font31"/>
    <w:basedOn w:val="15"/>
    <w:qFormat/>
    <w:uiPriority w:val="0"/>
    <w:rPr>
      <w:rFonts w:hint="eastAsia" w:ascii="微软雅黑" w:hAnsi="微软雅黑" w:eastAsia="微软雅黑" w:cs="微软雅黑"/>
      <w:color w:val="000000"/>
      <w:sz w:val="20"/>
      <w:szCs w:val="20"/>
      <w:u w:val="none"/>
    </w:rPr>
  </w:style>
  <w:style w:type="character" w:customStyle="1" w:styleId="43">
    <w:name w:val="font51"/>
    <w:basedOn w:val="15"/>
    <w:qFormat/>
    <w:uiPriority w:val="0"/>
    <w:rPr>
      <w:rFonts w:hint="eastAsia" w:ascii="微软雅黑" w:hAnsi="微软雅黑" w:eastAsia="微软雅黑" w:cs="微软雅黑"/>
      <w:color w:val="000000"/>
      <w:sz w:val="20"/>
      <w:szCs w:val="20"/>
      <w:u w:val="none"/>
      <w:vertAlign w:val="subscript"/>
    </w:rPr>
  </w:style>
  <w:style w:type="paragraph" w:customStyle="1" w:styleId="44">
    <w:name w:val="TOC Heading"/>
    <w:basedOn w:val="2"/>
    <w:next w:val="1"/>
    <w:unhideWhenUsed/>
    <w:qFormat/>
    <w:uiPriority w:val="39"/>
    <w:pPr>
      <w:widowControl/>
      <w:spacing w:before="480" w:after="0" w:line="276" w:lineRule="auto"/>
      <w:jc w:val="left"/>
      <w:outlineLvl w:val="9"/>
    </w:pPr>
    <w:rPr>
      <w:rFonts w:ascii="等线 Light" w:hAnsi="等线 Light" w:eastAsia="等线 Light" w:cs="Times New Roman"/>
      <w:color w:val="2F5496"/>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14407</Words>
  <Characters>82121</Characters>
  <Lines>684</Lines>
  <Paragraphs>192</Paragraphs>
  <TotalTime>22</TotalTime>
  <ScaleCrop>false</ScaleCrop>
  <LinksUpToDate>false</LinksUpToDate>
  <CharactersWithSpaces>96336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2025-10-18T07:55:00Z</dcterms:created>
  <dc:creator>天予 陈</dc:creator>
  <cp:lastModifiedBy>kylin</cp:lastModifiedBy>
  <cp:lastPrinted>2025-04-30T09:27:00Z</cp:lastPrinted>
  <dcterms:modified xsi:type="dcterms:W3CDTF">2025-12-16T15:39:41Z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6E570BA81FF74962B543EAA9BABEC551_13</vt:lpwstr>
  </property>
</Properties>
</file>