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883"/>
        <w:jc w:val="center"/>
        <w:rPr>
          <w:rFonts w:eastAsia="宋体" w:cs="Times New Roman"/>
          <w:b/>
          <w:sz w:val="44"/>
          <w:szCs w:val="44"/>
        </w:rPr>
      </w:pPr>
      <w:bookmarkStart w:id="152" w:name="_GoBack"/>
      <w:bookmarkEnd w:id="152"/>
    </w:p>
    <w:p>
      <w:pPr>
        <w:spacing w:line="480" w:lineRule="auto"/>
        <w:ind w:firstLine="883"/>
        <w:jc w:val="center"/>
        <w:rPr>
          <w:rFonts w:eastAsia="宋体" w:cs="Times New Roman"/>
          <w:b/>
          <w:sz w:val="44"/>
          <w:szCs w:val="44"/>
        </w:rPr>
      </w:pPr>
    </w:p>
    <w:p>
      <w:pPr>
        <w:spacing w:line="480" w:lineRule="auto"/>
        <w:ind w:firstLine="880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pStyle w:val="16"/>
        <w:widowControl/>
        <w:spacing w:before="0" w:after="0" w:line="720" w:lineRule="exact"/>
        <w:ind w:firstLine="0" w:firstLineChars="0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《深圳市综合交通“十五五”规划》</w:t>
      </w:r>
    </w:p>
    <w:p>
      <w:pPr>
        <w:pStyle w:val="16"/>
        <w:widowControl/>
        <w:spacing w:before="0" w:after="0" w:line="720" w:lineRule="exact"/>
        <w:ind w:firstLine="0" w:firstLineChars="0"/>
        <w:outlineLvl w:val="9"/>
        <w:rPr>
          <w:rFonts w:hint="eastAsia" w:ascii="楷体_GB2312" w:hAnsi="楷体_GB2312" w:eastAsia="楷体_GB2312" w:cs="楷体_GB2312"/>
          <w:b w:val="0"/>
          <w:bCs w:val="0"/>
          <w:kern w:val="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</w:rPr>
        <w:t>（征求意见稿）</w:t>
      </w:r>
    </w:p>
    <w:p>
      <w:pPr>
        <w:spacing w:line="480" w:lineRule="auto"/>
        <w:ind w:firstLine="883"/>
        <w:jc w:val="center"/>
        <w:rPr>
          <w:rFonts w:eastAsia="宋体" w:cs="Times New Roman"/>
          <w:b/>
          <w:sz w:val="44"/>
          <w:szCs w:val="44"/>
        </w:rPr>
      </w:pPr>
    </w:p>
    <w:p>
      <w:pPr>
        <w:spacing w:line="480" w:lineRule="auto"/>
        <w:ind w:firstLine="883"/>
        <w:jc w:val="center"/>
        <w:rPr>
          <w:rFonts w:eastAsia="宋体" w:cs="Times New Roman"/>
          <w:b/>
          <w:sz w:val="44"/>
          <w:szCs w:val="44"/>
        </w:rPr>
      </w:pPr>
    </w:p>
    <w:p>
      <w:pPr>
        <w:spacing w:line="480" w:lineRule="auto"/>
        <w:ind w:firstLine="883"/>
        <w:jc w:val="center"/>
        <w:rPr>
          <w:rFonts w:eastAsia="宋体" w:cs="Times New Roman"/>
          <w:b/>
          <w:sz w:val="44"/>
          <w:szCs w:val="44"/>
        </w:rPr>
      </w:pPr>
    </w:p>
    <w:p>
      <w:pPr>
        <w:spacing w:line="480" w:lineRule="auto"/>
        <w:ind w:firstLine="883"/>
        <w:jc w:val="center"/>
        <w:rPr>
          <w:rFonts w:eastAsia="宋体" w:cs="Times New Roman"/>
          <w:b/>
          <w:sz w:val="44"/>
          <w:szCs w:val="44"/>
        </w:rPr>
      </w:pPr>
    </w:p>
    <w:p>
      <w:pPr>
        <w:spacing w:line="480" w:lineRule="auto"/>
        <w:ind w:firstLine="883"/>
        <w:jc w:val="center"/>
        <w:rPr>
          <w:rFonts w:eastAsia="宋体" w:cs="Times New Roman"/>
          <w:b/>
          <w:sz w:val="44"/>
          <w:szCs w:val="44"/>
        </w:rPr>
      </w:pPr>
    </w:p>
    <w:p>
      <w:pPr>
        <w:spacing w:line="480" w:lineRule="auto"/>
        <w:ind w:firstLine="883"/>
        <w:jc w:val="center"/>
        <w:rPr>
          <w:rFonts w:eastAsia="宋体" w:cs="Times New Roman"/>
          <w:b/>
          <w:sz w:val="44"/>
          <w:szCs w:val="44"/>
        </w:rPr>
      </w:pPr>
    </w:p>
    <w:p>
      <w:pPr>
        <w:spacing w:line="480" w:lineRule="auto"/>
        <w:ind w:firstLine="883"/>
        <w:jc w:val="center"/>
        <w:rPr>
          <w:rFonts w:eastAsia="宋体" w:cs="Times New Roman"/>
          <w:b/>
          <w:sz w:val="44"/>
          <w:szCs w:val="44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仿宋_GB2312" w:hAnsiTheme="majorEastAsia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仿宋_GB2312" w:hAnsiTheme="majorEastAsia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宋体" w:hAnsi="宋体" w:eastAsia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深圳市交通运输局</w:t>
      </w:r>
    </w:p>
    <w:p>
      <w:pPr>
        <w:widowControl/>
        <w:spacing w:line="240" w:lineRule="auto"/>
        <w:ind w:firstLine="0" w:firstLineChars="0"/>
        <w:jc w:val="center"/>
        <w:rPr>
          <w:rFonts w:hint="eastAsia" w:ascii="宋体" w:hAnsi="宋体" w:eastAsia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2026年5月</w:t>
      </w:r>
    </w:p>
    <w:p>
      <w:pPr>
        <w:widowControl/>
        <w:spacing w:line="240" w:lineRule="auto"/>
        <w:ind w:firstLine="0" w:firstLineChars="0"/>
        <w:jc w:val="left"/>
        <w:rPr>
          <w:rFonts w:eastAsia="黑体" w:cs="Times New Roman"/>
          <w:b/>
          <w:bCs/>
          <w:kern w:val="44"/>
          <w:sz w:val="36"/>
          <w:szCs w:val="44"/>
        </w:rPr>
      </w:pPr>
      <w:bookmarkStart w:id="0" w:name="_Toc201968763"/>
      <w:bookmarkStart w:id="1" w:name="_Toc4931"/>
      <w:bookmarkStart w:id="2" w:name="_Toc93399001"/>
      <w:bookmarkStart w:id="3" w:name="_Toc93867807"/>
      <w:bookmarkStart w:id="4" w:name="_Toc20302"/>
      <w:bookmarkStart w:id="5" w:name="_Toc212805333"/>
      <w:bookmarkStart w:id="6" w:name="_Toc89009834"/>
      <w:bookmarkStart w:id="7" w:name="_Toc21978"/>
      <w:bookmarkStart w:id="8" w:name="_Toc26357"/>
      <w:bookmarkStart w:id="9" w:name="_Toc303085074"/>
      <w:bookmarkStart w:id="10" w:name="_Toc7236"/>
      <w:bookmarkStart w:id="11" w:name="_Toc1592513196"/>
      <w:bookmarkStart w:id="12" w:name="_Toc23415"/>
      <w:bookmarkStart w:id="13" w:name="_Toc16932"/>
      <w:bookmarkStart w:id="14" w:name="_Toc468031549"/>
      <w:bookmarkStart w:id="15" w:name="_Toc22103"/>
      <w:bookmarkStart w:id="16" w:name="_Toc1524512907"/>
      <w:bookmarkStart w:id="17" w:name="_Toc24883"/>
      <w:bookmarkStart w:id="18" w:name="_Toc26326"/>
      <w:r>
        <w:rPr>
          <w:rFonts w:cs="Times New Roman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>
      <w:pPr>
        <w:spacing w:line="360" w:lineRule="auto"/>
        <w:ind w:left="237" w:leftChars="74" w:firstLine="0" w:firstLineChars="0"/>
        <w:jc w:val="center"/>
        <w:rPr>
          <w:rFonts w:eastAsia="黑体"/>
          <w:sz w:val="36"/>
        </w:rPr>
      </w:pPr>
      <w:bookmarkStart w:id="19" w:name="_Toc224722842"/>
      <w:bookmarkStart w:id="20" w:name="_Toc21019"/>
      <w:r>
        <w:rPr>
          <w:rFonts w:hint="eastAsia" w:eastAsia="黑体"/>
          <w:sz w:val="36"/>
        </w:rPr>
        <w:t>目录</w:t>
      </w:r>
      <w:bookmarkEnd w:id="19"/>
    </w:p>
    <w:p>
      <w:pPr>
        <w:pStyle w:val="11"/>
        <w:tabs>
          <w:tab w:val="right" w:leader="dot" w:pos="8296"/>
        </w:tabs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rPr>
          <w:rFonts w:cs="Times New Roman"/>
          <w:szCs w:val="32"/>
        </w:rPr>
        <w:fldChar w:fldCharType="begin"/>
      </w:r>
      <w:r>
        <w:rPr>
          <w:rFonts w:cs="Times New Roman"/>
          <w:szCs w:val="32"/>
        </w:rPr>
        <w:instrText xml:space="preserve"> TOC \o "1-2" \h \z \u </w:instrText>
      </w:r>
      <w:r>
        <w:rPr>
          <w:rFonts w:cs="Times New Roman"/>
          <w:szCs w:val="32"/>
        </w:rPr>
        <w:fldChar w:fldCharType="separate"/>
      </w:r>
      <w:r>
        <w:fldChar w:fldCharType="begin"/>
      </w:r>
      <w:r>
        <w:instrText xml:space="preserve"> HYPERLINK \l "_Toc228352974" </w:instrText>
      </w:r>
      <w:r>
        <w:fldChar w:fldCharType="separate"/>
      </w:r>
      <w:r>
        <w:rPr>
          <w:rStyle w:val="22"/>
          <w:rFonts w:cs="Times New Roman"/>
        </w:rPr>
        <w:t>第一章 发展基础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_Toc228352974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"_Toc228352975" </w:instrText>
      </w:r>
      <w:r>
        <w:fldChar w:fldCharType="separate"/>
      </w:r>
      <w:r>
        <w:rPr>
          <w:rStyle w:val="22"/>
          <w:rFonts w:cs="Times New Roman"/>
        </w:rPr>
        <w:t>第一节 发展成就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_Toc228352975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"_Toc228352976" </w:instrText>
      </w:r>
      <w:r>
        <w:fldChar w:fldCharType="separate"/>
      </w:r>
      <w:r>
        <w:rPr>
          <w:rStyle w:val="22"/>
          <w:rFonts w:cs="Times New Roman"/>
        </w:rPr>
        <w:t>第二节 形势分析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_Toc228352976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"_Toc228352977" </w:instrText>
      </w:r>
      <w:r>
        <w:fldChar w:fldCharType="separate"/>
      </w:r>
      <w:r>
        <w:rPr>
          <w:rStyle w:val="22"/>
          <w:rFonts w:cs="Times New Roman"/>
        </w:rPr>
        <w:t>第二章 总体要求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_Toc228352977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"_Toc228352978" </w:instrText>
      </w:r>
      <w:r>
        <w:fldChar w:fldCharType="separate"/>
      </w:r>
      <w:r>
        <w:rPr>
          <w:rStyle w:val="22"/>
          <w:rFonts w:cs="Times New Roman"/>
        </w:rPr>
        <w:t>第一节 指导思想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_Toc228352978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"_Toc228352979" </w:instrText>
      </w:r>
      <w:r>
        <w:fldChar w:fldCharType="separate"/>
      </w:r>
      <w:r>
        <w:rPr>
          <w:rStyle w:val="22"/>
          <w:rFonts w:cs="Times New Roman"/>
        </w:rPr>
        <w:t>第二节 基本原则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_Toc228352979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"_Toc228352980" </w:instrText>
      </w:r>
      <w:r>
        <w:fldChar w:fldCharType="separate"/>
      </w:r>
      <w:r>
        <w:rPr>
          <w:rStyle w:val="22"/>
          <w:rFonts w:cs="Times New Roman"/>
        </w:rPr>
        <w:t>第三节 目标愿景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_Toc228352980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"_Toc228352981" </w:instrText>
      </w:r>
      <w:r>
        <w:fldChar w:fldCharType="separate"/>
      </w:r>
      <w:r>
        <w:rPr>
          <w:rStyle w:val="22"/>
          <w:rFonts w:cs="Times New Roman"/>
        </w:rPr>
        <w:t>第三章 强化畅达高效的对外综合交通网络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_Toc228352981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"_Toc228352982" </w:instrText>
      </w:r>
      <w:r>
        <w:fldChar w:fldCharType="separate"/>
      </w:r>
      <w:r>
        <w:rPr>
          <w:rStyle w:val="22"/>
          <w:rFonts w:cs="Times New Roman"/>
        </w:rPr>
        <w:t>第一节 提升海空铁枢纽与物流设施能级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_Toc228352982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"_Toc228352983" </w:instrText>
      </w:r>
      <w:r>
        <w:fldChar w:fldCharType="separate"/>
      </w:r>
      <w:r>
        <w:rPr>
          <w:rStyle w:val="22"/>
          <w:rFonts w:cs="Times New Roman"/>
        </w:rPr>
        <w:t>第二节 做优多元化客运航线与专业服务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_Toc228352983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"_Toc228352984" </w:instrText>
      </w:r>
      <w:r>
        <w:fldChar w:fldCharType="separate"/>
      </w:r>
      <w:r>
        <w:rPr>
          <w:rStyle w:val="22"/>
          <w:rFonts w:cs="Times New Roman"/>
        </w:rPr>
        <w:t>第三节 增强现代物流服务效能与竞争力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_Toc228352984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"_Toc228352985" </w:instrText>
      </w:r>
      <w:r>
        <w:fldChar w:fldCharType="separate"/>
      </w:r>
      <w:r>
        <w:rPr>
          <w:rStyle w:val="22"/>
          <w:rFonts w:cs="Times New Roman"/>
        </w:rPr>
        <w:t>第四章 完善立体协同的城市内部交通网络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_Toc228352985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"_Toc228352986" </w:instrText>
      </w:r>
      <w:r>
        <w:fldChar w:fldCharType="separate"/>
      </w:r>
      <w:r>
        <w:rPr>
          <w:rStyle w:val="22"/>
          <w:rFonts w:cs="Times New Roman"/>
        </w:rPr>
        <w:t>第一节 构建多层覆盖的骨干交通网络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_Toc228352986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"_Toc228352987" </w:instrText>
      </w:r>
      <w:r>
        <w:fldChar w:fldCharType="separate"/>
      </w:r>
      <w:r>
        <w:rPr>
          <w:rStyle w:val="22"/>
          <w:rFonts w:cs="Times New Roman"/>
        </w:rPr>
        <w:t>第二节 打造品质多元的城市出行服务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_Toc228352987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"_Toc228352988" </w:instrText>
      </w:r>
      <w:r>
        <w:fldChar w:fldCharType="separate"/>
      </w:r>
      <w:r>
        <w:rPr>
          <w:rStyle w:val="22"/>
          <w:rFonts w:cs="Times New Roman"/>
        </w:rPr>
        <w:t>第五章 推进跨域协同的一体化交通发展格局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_Toc228352988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"_Toc228352989" </w:instrText>
      </w:r>
      <w:r>
        <w:fldChar w:fldCharType="separate"/>
      </w:r>
      <w:r>
        <w:rPr>
          <w:rStyle w:val="22"/>
          <w:rFonts w:cs="Times New Roman"/>
        </w:rPr>
        <w:t>第一节 强化跨方式融合衔接的运输体系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_Toc228352989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"_Toc228352990" </w:instrText>
      </w:r>
      <w:r>
        <w:fldChar w:fldCharType="separate"/>
      </w:r>
      <w:r>
        <w:rPr>
          <w:rStyle w:val="22"/>
          <w:rFonts w:cs="Times New Roman"/>
        </w:rPr>
        <w:t>第二节 推动跨领域深度融合的协同发展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_Toc228352990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"_Toc228352991" </w:instrText>
      </w:r>
      <w:r>
        <w:fldChar w:fldCharType="separate"/>
      </w:r>
      <w:r>
        <w:rPr>
          <w:rStyle w:val="22"/>
          <w:rFonts w:cs="Times New Roman"/>
        </w:rPr>
        <w:t>第三节 健全跨区域互联互通设施与制度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_Toc228352991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"_Toc228352992" </w:instrText>
      </w:r>
      <w:r>
        <w:fldChar w:fldCharType="separate"/>
      </w:r>
      <w:r>
        <w:rPr>
          <w:rStyle w:val="22"/>
          <w:rFonts w:cs="Times New Roman"/>
        </w:rPr>
        <w:t>第六章 筑牢安全可靠的城市交通发展防线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_Toc228352992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"_Toc228352993" </w:instrText>
      </w:r>
      <w:r>
        <w:fldChar w:fldCharType="separate"/>
      </w:r>
      <w:r>
        <w:rPr>
          <w:rStyle w:val="22"/>
          <w:rFonts w:cs="Times New Roman"/>
        </w:rPr>
        <w:t>第一节 提升基础设施长效服役水平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_Toc228352993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"_Toc228352994" </w:instrText>
      </w:r>
      <w:r>
        <w:fldChar w:fldCharType="separate"/>
      </w:r>
      <w:r>
        <w:rPr>
          <w:rStyle w:val="22"/>
          <w:rFonts w:cs="Times New Roman"/>
        </w:rPr>
        <w:t>第二节 完善应急保障能力与储备体系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_Toc228352994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"_Toc228352995" </w:instrText>
      </w:r>
      <w:r>
        <w:fldChar w:fldCharType="separate"/>
      </w:r>
      <w:r>
        <w:rPr>
          <w:rStyle w:val="22"/>
          <w:rFonts w:cs="Times New Roman"/>
        </w:rPr>
        <w:t>第三节 强化交通运输行业安全治理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_Toc228352995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"_Toc228352996" </w:instrText>
      </w:r>
      <w:r>
        <w:fldChar w:fldCharType="separate"/>
      </w:r>
      <w:r>
        <w:rPr>
          <w:rStyle w:val="22"/>
          <w:rFonts w:cs="Times New Roman"/>
        </w:rPr>
        <w:t>第七章 打造数智赋能的智慧交通先行示范高地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_Toc228352996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"_Toc228352997" </w:instrText>
      </w:r>
      <w:r>
        <w:fldChar w:fldCharType="separate"/>
      </w:r>
      <w:r>
        <w:rPr>
          <w:rStyle w:val="22"/>
          <w:rFonts w:cs="Times New Roman"/>
        </w:rPr>
        <w:t>第一节 培育壮大低空经济新业态新模式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_Toc228352997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"_Toc228352998" </w:instrText>
      </w:r>
      <w:r>
        <w:fldChar w:fldCharType="separate"/>
      </w:r>
      <w:r>
        <w:rPr>
          <w:rStyle w:val="22"/>
          <w:rFonts w:cs="Times New Roman"/>
        </w:rPr>
        <w:t>第二节 推进智能网联汽车高质量创新应用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_Toc228352998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"_Toc228352999" </w:instrText>
      </w:r>
      <w:r>
        <w:fldChar w:fldCharType="separate"/>
      </w:r>
      <w:r>
        <w:rPr>
          <w:rStyle w:val="22"/>
          <w:rFonts w:cs="Times New Roman"/>
        </w:rPr>
        <w:t>第三节 赋能城市客货运与精细化交通治理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_Toc228352999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"_Toc228353000" </w:instrText>
      </w:r>
      <w:r>
        <w:fldChar w:fldCharType="separate"/>
      </w:r>
      <w:r>
        <w:rPr>
          <w:rStyle w:val="22"/>
          <w:rFonts w:cs="Times New Roman"/>
        </w:rPr>
        <w:t>第四节 夯实支撑全域应用的数字交通底座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_Toc228353000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"_Toc228353001" </w:instrText>
      </w:r>
      <w:r>
        <w:fldChar w:fldCharType="separate"/>
      </w:r>
      <w:r>
        <w:rPr>
          <w:rStyle w:val="22"/>
          <w:rFonts w:cs="Times New Roman"/>
        </w:rPr>
        <w:t>第八章 构建绿色低碳的可持续交通体系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_Toc228353001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"_Toc228353002" </w:instrText>
      </w:r>
      <w:r>
        <w:fldChar w:fldCharType="separate"/>
      </w:r>
      <w:r>
        <w:rPr>
          <w:rStyle w:val="22"/>
          <w:rFonts w:cs="Times New Roman"/>
        </w:rPr>
        <w:t>第一节 推进运输服务结构优化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_Toc228353002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"_Toc228353003" </w:instrText>
      </w:r>
      <w:r>
        <w:fldChar w:fldCharType="separate"/>
      </w:r>
      <w:r>
        <w:rPr>
          <w:rStyle w:val="22"/>
          <w:rFonts w:cs="Times New Roman"/>
        </w:rPr>
        <w:t>第二节 推进交通设施绿色转型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_Toc228353003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"_Toc228353004" </w:instrText>
      </w:r>
      <w:r>
        <w:fldChar w:fldCharType="separate"/>
      </w:r>
      <w:r>
        <w:rPr>
          <w:rStyle w:val="22"/>
          <w:rFonts w:cs="Times New Roman"/>
        </w:rPr>
        <w:t>第三节 加快清洁能源规模应用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_Toc228353004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"_Toc228353005" </w:instrText>
      </w:r>
      <w:r>
        <w:fldChar w:fldCharType="separate"/>
      </w:r>
      <w:r>
        <w:rPr>
          <w:rStyle w:val="22"/>
          <w:rFonts w:cs="Times New Roman"/>
        </w:rPr>
        <w:t>第九章 保障措施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_Toc228353005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"_Toc228353006" </w:instrText>
      </w:r>
      <w:r>
        <w:fldChar w:fldCharType="separate"/>
      </w:r>
      <w:r>
        <w:rPr>
          <w:rStyle w:val="22"/>
          <w:rFonts w:cs="Times New Roman"/>
        </w:rPr>
        <w:t>第一节 强化组织实施与政策支撑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_Toc228353006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4"/>
        <w:tabs>
          <w:tab w:val="right" w:leader="dot" w:pos="8296"/>
        </w:tabs>
        <w:ind w:left="640" w:firstLine="420"/>
        <w:rPr>
          <w:rFonts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"_Toc228353007" </w:instrText>
      </w:r>
      <w:r>
        <w:fldChar w:fldCharType="separate"/>
      </w:r>
      <w:r>
        <w:rPr>
          <w:rStyle w:val="22"/>
          <w:rFonts w:cs="Times New Roman"/>
        </w:rPr>
        <w:t>第二节 落实环境影响评价与防控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_Toc228353007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fldChar w:fldCharType="end"/>
      </w:r>
    </w:p>
    <w:p>
      <w:pPr>
        <w:widowControl/>
        <w:spacing w:line="240" w:lineRule="auto"/>
        <w:ind w:firstLine="0" w:firstLineChars="0"/>
        <w:jc w:val="left"/>
        <w:rPr>
          <w:rFonts w:eastAsia="黑体" w:cs="Times New Roman"/>
          <w:b/>
          <w:bCs/>
          <w:kern w:val="44"/>
          <w:sz w:val="36"/>
          <w:szCs w:val="32"/>
        </w:rPr>
      </w:pPr>
      <w:r>
        <w:rPr>
          <w:rFonts w:cs="Times New Roman"/>
          <w:szCs w:val="32"/>
        </w:rPr>
        <w:br w:type="page"/>
      </w:r>
    </w:p>
    <w:p>
      <w:pPr>
        <w:pStyle w:val="3"/>
        <w:numPr>
          <w:ilvl w:val="0"/>
          <w:numId w:val="0"/>
        </w:numPr>
        <w:ind w:left="420"/>
        <w:rPr>
          <w:rFonts w:cs="Times New Roman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footnotePr>
            <w:numRestart w:val="eachPage"/>
          </w:footnotePr>
          <w:pgSz w:w="11906" w:h="16838"/>
          <w:pgMar w:top="1440" w:right="1800" w:bottom="1440" w:left="1800" w:header="794" w:footer="992" w:gutter="0"/>
          <w:cols w:space="425" w:num="1"/>
          <w:docGrid w:type="lines" w:linePitch="435" w:charSpace="0"/>
        </w:sectPr>
      </w:pPr>
    </w:p>
    <w:p>
      <w:pPr>
        <w:pStyle w:val="3"/>
        <w:numPr>
          <w:ilvl w:val="0"/>
          <w:numId w:val="0"/>
        </w:numPr>
        <w:rPr>
          <w:rFonts w:cs="Times New Roman"/>
          <w:b w:val="0"/>
          <w:bCs w:val="0"/>
        </w:rPr>
      </w:pPr>
      <w:bookmarkStart w:id="21" w:name="_Toc228352974"/>
      <w:bookmarkStart w:id="22" w:name="_Toc1058"/>
      <w:r>
        <w:rPr>
          <w:rFonts w:hint="eastAsia" w:cs="Times New Roman"/>
          <w:b w:val="0"/>
          <w:bCs w:val="0"/>
        </w:rPr>
        <w:t xml:space="preserve">第一章 </w:t>
      </w:r>
      <w:r>
        <w:fldChar w:fldCharType="begin"/>
      </w:r>
      <w:r>
        <w:instrText xml:space="preserve"> HYPERLINK \l "_Toc1650622975" </w:instrText>
      </w:r>
      <w:r>
        <w:fldChar w:fldCharType="separate"/>
      </w:r>
      <w:bookmarkStart w:id="23" w:name="_Toc216786883"/>
      <w:r>
        <w:rPr>
          <w:rFonts w:hint="eastAsia" w:cs="Times New Roman"/>
          <w:b w:val="0"/>
          <w:bCs w:val="0"/>
        </w:rPr>
        <w:t>发展基础</w:t>
      </w:r>
      <w:bookmarkEnd w:id="21"/>
      <w:bookmarkEnd w:id="23"/>
      <w:r>
        <w:rPr>
          <w:rFonts w:hint="eastAsia" w:cs="Times New Roman"/>
          <w:b w:val="0"/>
          <w:bCs w:val="0"/>
        </w:rPr>
        <w:fldChar w:fldCharType="end"/>
      </w:r>
      <w:bookmarkEnd w:id="18"/>
      <w:bookmarkEnd w:id="20"/>
      <w:bookmarkEnd w:id="22"/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24" w:name="_Toc228352975"/>
      <w:bookmarkStart w:id="25" w:name="_Toc226556349"/>
      <w:bookmarkStart w:id="26" w:name="OLE_LINK12"/>
      <w:bookmarkStart w:id="27" w:name="_Hlk216717401"/>
      <w:bookmarkStart w:id="28" w:name="_Toc9309"/>
      <w:bookmarkStart w:id="29" w:name="_Toc27850"/>
      <w:r>
        <w:rPr>
          <w:rFonts w:hint="eastAsia" w:ascii="Times New Roman" w:cs="Times New Roman"/>
          <w:szCs w:val="22"/>
        </w:rPr>
        <w:t>第一节 发展成就</w:t>
      </w:r>
      <w:bookmarkEnd w:id="24"/>
      <w:bookmarkEnd w:id="25"/>
    </w:p>
    <w:p>
      <w:pPr>
        <w:ind w:firstLine="640"/>
        <w:rPr>
          <w:rFonts w:ascii="仿宋_GB2312"/>
        </w:rPr>
      </w:pPr>
      <w:r>
        <w:rPr>
          <w:rFonts w:hint="eastAsia" w:ascii="仿宋_GB2312" w:cs="Times New Roman"/>
        </w:rPr>
        <w:t>“十四五”时期，深圳交通枢纽辐射能级持续提升，综合立体交通网络建设步伐加快，低空、智能网联等交通新质生产力在全国率先突破，绿色化、安全化水平位居全球前列，</w:t>
      </w:r>
      <w:r>
        <w:rPr>
          <w:rFonts w:hint="eastAsia" w:ascii="仿宋_GB2312" w:hAnsi="仿宋_GB2312" w:cs="仿宋_GB2312"/>
          <w:szCs w:val="32"/>
        </w:rPr>
        <w:t>“国际性综合交通枢纽城市”</w:t>
      </w:r>
      <w:r>
        <w:rPr>
          <w:rFonts w:hint="eastAsia" w:ascii="仿宋_GB2312" w:cs="仿宋_GB2312"/>
          <w:szCs w:val="32"/>
        </w:rPr>
        <w:t>成为国家赋予</w:t>
      </w:r>
      <w:r>
        <w:rPr>
          <w:rFonts w:hint="eastAsia" w:ascii="仿宋_GB2312" w:hAnsi="仿宋_GB2312" w:cs="仿宋_GB2312"/>
          <w:szCs w:val="32"/>
        </w:rPr>
        <w:t>深圳</w:t>
      </w:r>
      <w:r>
        <w:rPr>
          <w:rFonts w:hint="eastAsia" w:ascii="仿宋_GB2312" w:cs="仿宋_GB2312"/>
          <w:szCs w:val="32"/>
        </w:rPr>
        <w:t>的</w:t>
      </w:r>
      <w:r>
        <w:rPr>
          <w:rFonts w:hint="eastAsia" w:ascii="仿宋_GB2312" w:hAnsi="仿宋_GB2312" w:cs="仿宋_GB2312"/>
          <w:szCs w:val="32"/>
        </w:rPr>
        <w:t>四个城市性质之一</w:t>
      </w:r>
      <w:r>
        <w:rPr>
          <w:rFonts w:hint="eastAsia" w:ascii="仿宋_GB2312" w:cs="Times New Roman"/>
        </w:rPr>
        <w:t>，具有全球重要影响力的物流中心建设取得显著成效，</w:t>
      </w:r>
      <w:r>
        <w:rPr>
          <w:rFonts w:hint="eastAsia" w:ascii="仿宋_GB2312" w:cs="仿宋_GB2312"/>
          <w:szCs w:val="32"/>
        </w:rPr>
        <w:t>综合交通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/>
        </w:rPr>
        <w:t>十四五”规划实现圆满收官。</w:t>
      </w:r>
    </w:p>
    <w:p>
      <w:pPr>
        <w:ind w:firstLine="643"/>
        <w:rPr>
          <w:rFonts w:hint="eastAsia" w:ascii="仿宋_GB2312" w:hAnsi="仿宋_GB2312" w:cs="Times New Roman"/>
        </w:rPr>
      </w:pPr>
      <w:r>
        <w:rPr>
          <w:rFonts w:hint="eastAsia" w:ascii="仿宋_GB2312" w:hAnsi="仿宋_GB2312" w:cs="Times New Roman"/>
          <w:b/>
          <w:bCs/>
        </w:rPr>
        <w:t>海空双港枢纽能级实现跃升。</w:t>
      </w:r>
      <w:r>
        <w:rPr>
          <w:rFonts w:hint="eastAsia" w:ascii="仿宋_GB2312" w:hAnsi="仿宋_GB2312" w:cs="Times New Roman"/>
        </w:rPr>
        <w:t>集装箱吞吐量突破3500万标箱，稳居全球前四。</w:t>
      </w:r>
      <w:r>
        <w:rPr>
          <w:rFonts w:ascii="仿宋_GB2312" w:hAnsi="仿宋_GB2312" w:cs="Times New Roman"/>
        </w:rPr>
        <w:t>机场卫星厅、三跑道建成投运，</w:t>
      </w:r>
      <w:r>
        <w:rPr>
          <w:rFonts w:hint="eastAsia" w:ascii="仿宋_GB2312" w:hAnsi="仿宋_GB2312" w:cs="Times New Roman"/>
        </w:rPr>
        <w:t>机场旅客吞吐量突破6600万人次、货邮吞吐量突破200万吨，国际及地区客货运航线达104条，均创历史新高。</w:t>
      </w:r>
      <w:r>
        <w:rPr>
          <w:rFonts w:hint="eastAsia" w:ascii="仿宋_GB2312" w:hAnsi="仿宋_GB2312" w:cs="Times New Roman"/>
          <w:b/>
          <w:bCs/>
        </w:rPr>
        <w:t>现代物流体系加速形成。</w:t>
      </w:r>
      <w:r>
        <w:rPr>
          <w:rFonts w:hint="eastAsia" w:ascii="仿宋_GB2312" w:hAnsi="仿宋_GB2312" w:cs="Times New Roman"/>
        </w:rPr>
        <w:t>入选国家综合货运枢纽补链强链支持城市，获批建设港口型、空港型、商贸服务型、生产服务型为一体的国家物流枢纽，物流企业超8万家，交通运输业增加值突破千亿规模，</w:t>
      </w:r>
      <w:r>
        <w:rPr>
          <w:rFonts w:ascii="仿宋_GB2312" w:cs="Times New Roman"/>
          <w:szCs w:val="32"/>
        </w:rPr>
        <w:t>全社会物流总费用占GDP比重</w:t>
      </w:r>
      <w:r>
        <w:rPr>
          <w:rFonts w:hint="eastAsia" w:ascii="仿宋_GB2312" w:cs="Times New Roman"/>
          <w:szCs w:val="32"/>
        </w:rPr>
        <w:t>降至10.5</w:t>
      </w:r>
      <w:r>
        <w:rPr>
          <w:rFonts w:ascii="仿宋_GB2312" w:cs="Times New Roman"/>
          <w:szCs w:val="32"/>
        </w:rPr>
        <w:t>%</w:t>
      </w:r>
      <w:r>
        <w:rPr>
          <w:rFonts w:hint="eastAsia" w:ascii="仿宋_GB2312" w:cs="Times New Roman"/>
          <w:szCs w:val="32"/>
        </w:rPr>
        <w:t>，保持全国领先水平</w:t>
      </w:r>
      <w:r>
        <w:rPr>
          <w:rFonts w:hint="eastAsia" w:ascii="仿宋_GB2312" w:hAnsi="仿宋_GB2312" w:cs="Times New Roman"/>
        </w:rPr>
        <w:t>。</w:t>
      </w:r>
      <w:r>
        <w:rPr>
          <w:rFonts w:hint="eastAsia" w:ascii="仿宋_GB2312" w:hAnsi="仿宋_GB2312" w:cs="Times New Roman"/>
          <w:b/>
          <w:bCs/>
        </w:rPr>
        <w:t>综合立体交通网络加快构建。</w:t>
      </w:r>
      <w:r>
        <w:rPr>
          <w:rFonts w:hint="eastAsia" w:ascii="仿宋_GB2312" w:hAnsi="仿宋_GB2312" w:cs="Times New Roman"/>
        </w:rPr>
        <w:t>建成投用深中通道、外环高速二期、春风隧道、坪盐通道等一批重大工程，全市高快速路通车里程超670公里。建成运营赣深高铁、广汕铁路等</w:t>
      </w:r>
      <w:r>
        <w:rPr>
          <w:rFonts w:ascii="仿宋_GB2312" w:hAnsi="仿宋_GB2312" w:cs="Times New Roman"/>
        </w:rPr>
        <w:t>，</w:t>
      </w:r>
      <w:r>
        <w:rPr>
          <w:rFonts w:hint="eastAsia" w:ascii="仿宋_GB2312" w:hAnsi="仿宋_GB2312" w:cs="Times New Roman"/>
        </w:rPr>
        <w:t>铁路里程达261.9公里，</w:t>
      </w:r>
      <w:r>
        <w:rPr>
          <w:rFonts w:ascii="仿宋_GB2312" w:hAnsi="仿宋_GB2312" w:cs="Times New Roman"/>
        </w:rPr>
        <w:t>旅客年</w:t>
      </w:r>
      <w:r>
        <w:rPr>
          <w:rFonts w:hint="eastAsia" w:ascii="仿宋_GB2312" w:hAnsi="仿宋_GB2312" w:cs="Times New Roman"/>
        </w:rPr>
        <w:t>到</w:t>
      </w:r>
      <w:r>
        <w:rPr>
          <w:rFonts w:ascii="仿宋_GB2312" w:hAnsi="仿宋_GB2312" w:cs="Times New Roman"/>
        </w:rPr>
        <w:t>发量突破</w:t>
      </w:r>
      <w:r>
        <w:rPr>
          <w:rFonts w:hint="eastAsia" w:ascii="仿宋_GB2312" w:hAnsi="仿宋_GB2312" w:cs="Times New Roman"/>
        </w:rPr>
        <w:t>2亿人次</w:t>
      </w:r>
      <w:r>
        <w:rPr>
          <w:rFonts w:ascii="仿宋_GB2312" w:hAnsi="仿宋_GB2312" w:cs="Times New Roman"/>
        </w:rPr>
        <w:t>。</w:t>
      </w:r>
      <w:r>
        <w:rPr>
          <w:rFonts w:hint="eastAsia" w:ascii="仿宋_GB2312" w:hAnsi="仿宋_GB2312" w:cs="Times New Roman"/>
        </w:rPr>
        <w:t>开通运营18条（段）地铁线路和岗厦北、黄木岗交通枢纽，城市轨道里程增加212公里、达634.5公里，</w:t>
      </w:r>
      <w:r>
        <w:rPr>
          <w:rFonts w:ascii="仿宋_GB2312" w:hAnsi="仿宋_GB2312" w:cs="Times New Roman"/>
        </w:rPr>
        <w:t>单日最高客运量</w:t>
      </w:r>
      <w:r>
        <w:rPr>
          <w:rFonts w:hint="eastAsia" w:ascii="仿宋_GB2312" w:hAnsi="仿宋_GB2312" w:cs="Times New Roman"/>
        </w:rPr>
        <w:t>突破</w:t>
      </w:r>
      <w:r>
        <w:rPr>
          <w:rFonts w:ascii="仿宋_GB2312" w:hAnsi="仿宋_GB2312" w:cs="Times New Roman"/>
        </w:rPr>
        <w:t>1300万人次</w:t>
      </w:r>
      <w:r>
        <w:rPr>
          <w:rFonts w:hint="eastAsia" w:ascii="仿宋_GB2312" w:hAnsi="仿宋_GB2312" w:cs="Times New Roman"/>
        </w:rPr>
        <w:t>，客流强度稳居全国超大城市首位。</w:t>
      </w:r>
      <w:r>
        <w:rPr>
          <w:rFonts w:hint="eastAsia" w:ascii="仿宋_GB2312" w:hAnsi="仿宋_GB2312" w:cs="Times New Roman"/>
          <w:b/>
          <w:bCs/>
        </w:rPr>
        <w:t>改革创新攻坚纵深推进。</w:t>
      </w:r>
      <w:r>
        <w:rPr>
          <w:rFonts w:hint="eastAsia" w:ascii="仿宋_GB2312" w:hAnsi="仿宋_GB2312" w:cs="Times New Roman"/>
        </w:rPr>
        <w:t>高品质创新型国际航空枢纽建设等5项交通强国建设试点任务全面完成。低空空域管理改革深化推进，获批建设民用无人驾驶航空试验区，颁布实施全国首部低空经济产业促进地方性法规，</w:t>
      </w:r>
      <w:r>
        <w:rPr>
          <w:rFonts w:ascii="仿宋_GB2312" w:cs="Times New Roman"/>
          <w:bCs/>
          <w:color w:val="000000"/>
          <w:szCs w:val="32"/>
        </w:rPr>
        <w:t>建成</w:t>
      </w:r>
      <w:r>
        <w:rPr>
          <w:rFonts w:hint="eastAsia" w:ascii="仿宋_GB2312" w:cs="Times New Roman"/>
          <w:bCs/>
          <w:color w:val="000000"/>
          <w:szCs w:val="32"/>
        </w:rPr>
        <w:t>各类低空起降设施超1200</w:t>
      </w:r>
      <w:r>
        <w:rPr>
          <w:rFonts w:ascii="仿宋_GB2312" w:cs="Times New Roman"/>
          <w:bCs/>
          <w:color w:val="000000"/>
          <w:szCs w:val="32"/>
        </w:rPr>
        <w:t>个</w:t>
      </w:r>
      <w:r>
        <w:rPr>
          <w:rFonts w:hint="eastAsia" w:ascii="仿宋_GB2312" w:cs="Times New Roman"/>
          <w:bCs/>
          <w:color w:val="000000"/>
          <w:szCs w:val="32"/>
        </w:rPr>
        <w:t>，</w:t>
      </w:r>
      <w:r>
        <w:rPr>
          <w:rFonts w:ascii="仿宋_GB2312" w:cs="Times New Roman"/>
          <w:bCs/>
          <w:color w:val="000000"/>
          <w:szCs w:val="32"/>
        </w:rPr>
        <w:t>开通低空物流航线</w:t>
      </w:r>
      <w:r>
        <w:rPr>
          <w:rFonts w:hint="eastAsia" w:ascii="仿宋_GB2312" w:cs="Times New Roman"/>
          <w:bCs/>
          <w:color w:val="000000"/>
          <w:szCs w:val="32"/>
        </w:rPr>
        <w:t>超300</w:t>
      </w:r>
      <w:r>
        <w:rPr>
          <w:rFonts w:ascii="仿宋_GB2312" w:cs="Times New Roman"/>
          <w:bCs/>
          <w:color w:val="000000"/>
          <w:szCs w:val="32"/>
        </w:rPr>
        <w:t>条</w:t>
      </w:r>
      <w:r>
        <w:rPr>
          <w:rFonts w:hint="eastAsia" w:ascii="仿宋_GB2312" w:hAnsi="仿宋_GB2312" w:cs="Times New Roman"/>
        </w:rPr>
        <w:t>。入选国家智能网联汽车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 w:hAnsi="仿宋_GB2312" w:cs="Times New Roman"/>
        </w:rPr>
        <w:t>车路云一体化”应用试点城市，出台全国首部智能网联汽车管理法规，</w:t>
      </w:r>
      <w:r>
        <w:rPr>
          <w:rFonts w:ascii="仿宋_GB2312" w:hAnsi="仿宋_GB2312" w:cs="Times New Roman"/>
        </w:rPr>
        <w:t>开放智能网联测试道路4018公里，运行各类车辆超1800辆</w:t>
      </w:r>
      <w:r>
        <w:rPr>
          <w:rFonts w:hint="eastAsia" w:ascii="仿宋_GB2312" w:hAnsi="仿宋_GB2312" w:cs="Times New Roman"/>
        </w:rPr>
        <w:t>。</w:t>
      </w:r>
      <w:r>
        <w:rPr>
          <w:rFonts w:hint="eastAsia" w:ascii="仿宋_GB2312" w:hAnsi="仿宋_GB2312" w:cs="Times New Roman"/>
          <w:b/>
          <w:bCs/>
        </w:rPr>
        <w:t>民生交通服务优质高效。</w:t>
      </w:r>
      <w:r>
        <w:rPr>
          <w:rFonts w:hint="eastAsia" w:ascii="仿宋_GB2312" w:hAnsi="仿宋_GB2312" w:cs="Times New Roman"/>
        </w:rPr>
        <w:t>全市45分钟以内通勤比例达81%，居一线城市首位，高峰期运行速度在一线城市中保持领先。公交站点500米覆盖率、轨道公交一次换乘率均达100%，深港公交地铁实现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 w:hAnsi="仿宋_GB2312" w:cs="Times New Roman"/>
        </w:rPr>
        <w:t>一码通”“一卡通”。非机动车道里程超7800公里，覆盖率从24%提升至81%。新增小汽车停车位约85万个，停车位总量达398万个，公共智慧停车平台接入9000家停车场，753家实现错峰共享，日均服务超300万人次。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30" w:name="_Toc226556350"/>
      <w:bookmarkStart w:id="31" w:name="_Toc228352976"/>
      <w:r>
        <w:rPr>
          <w:rFonts w:hint="eastAsia" w:ascii="Times New Roman" w:cs="Times New Roman"/>
          <w:szCs w:val="22"/>
        </w:rPr>
        <w:t>第二节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形势分析</w:t>
      </w:r>
      <w:bookmarkEnd w:id="30"/>
      <w:bookmarkEnd w:id="31"/>
    </w:p>
    <w:p>
      <w:pPr>
        <w:ind w:firstLine="640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《</w:t>
      </w:r>
      <w:r>
        <w:rPr>
          <w:rFonts w:ascii="仿宋_GB2312" w:hAnsi="仿宋_GB2312" w:cs="仿宋_GB2312"/>
          <w:color w:val="000000"/>
          <w:szCs w:val="32"/>
        </w:rPr>
        <w:t>中华人民共和国国民经济和社会发展第十五个五年规划纲要</w:t>
      </w:r>
      <w:r>
        <w:rPr>
          <w:rFonts w:hint="eastAsia" w:ascii="仿宋_GB2312" w:hAnsi="仿宋_GB2312" w:cs="仿宋_GB2312"/>
          <w:color w:val="000000"/>
          <w:szCs w:val="32"/>
        </w:rPr>
        <w:t>》</w:t>
      </w:r>
      <w:r>
        <w:rPr>
          <w:rFonts w:ascii="仿宋_GB2312" w:hAnsi="仿宋_GB2312" w:cs="仿宋_GB2312"/>
          <w:color w:val="000000"/>
          <w:szCs w:val="32"/>
        </w:rPr>
        <w:t>明确完善现代化综合交通运输体系，建设国际性综合交通枢纽城市。交通运输部以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hAnsi="仿宋_GB2312" w:cs="仿宋_GB2312"/>
          <w:color w:val="000000"/>
          <w:szCs w:val="32"/>
        </w:rPr>
        <w:t>一网四化</w:t>
      </w:r>
      <w:r>
        <w:rPr>
          <w:rFonts w:hint="eastAsia" w:ascii="仿宋_GB2312" w:hAnsi="仿宋_GB2312" w:cs="仿宋_GB2312"/>
          <w:color w:val="000000"/>
          <w:szCs w:val="32"/>
        </w:rPr>
        <w:t>”</w:t>
      </w:r>
      <w:r>
        <w:rPr>
          <w:rFonts w:ascii="仿宋_GB2312" w:hAnsi="仿宋_GB2312" w:cs="仿宋_GB2312"/>
          <w:color w:val="000000"/>
          <w:szCs w:val="32"/>
        </w:rPr>
        <w:t>为主攻方向，</w:t>
      </w:r>
      <w:r>
        <w:rPr>
          <w:rFonts w:hint="eastAsia" w:ascii="仿宋_GB2312" w:hAnsi="仿宋_GB2312" w:cs="仿宋_GB2312"/>
          <w:color w:val="000000"/>
          <w:szCs w:val="32"/>
        </w:rPr>
        <w:t>加快建设现代化综合立体交通网，</w:t>
      </w:r>
      <w:r>
        <w:rPr>
          <w:rFonts w:ascii="仿宋_GB2312" w:hAnsi="仿宋_GB2312" w:cs="仿宋_GB2312"/>
          <w:color w:val="000000"/>
          <w:szCs w:val="32"/>
        </w:rPr>
        <w:t>突出一体化融合、安全化提升、数智化升级、绿色化转型。省交通运输厅围绕完善设施</w:t>
      </w:r>
      <w:r>
        <w:rPr>
          <w:rFonts w:hint="eastAsia" w:ascii="仿宋_GB2312" w:hAnsi="仿宋_GB2312" w:cs="仿宋_GB2312"/>
          <w:color w:val="000000"/>
          <w:szCs w:val="32"/>
        </w:rPr>
        <w:t>网络</w:t>
      </w:r>
      <w:r>
        <w:rPr>
          <w:rFonts w:ascii="仿宋_GB2312" w:hAnsi="仿宋_GB2312" w:cs="仿宋_GB2312"/>
          <w:color w:val="000000"/>
          <w:szCs w:val="32"/>
        </w:rPr>
        <w:t>、提升服务质效、</w:t>
      </w:r>
      <w:r>
        <w:rPr>
          <w:rFonts w:hint="eastAsia" w:ascii="仿宋_GB2312" w:hAnsi="仿宋_GB2312" w:cs="仿宋_GB2312"/>
          <w:color w:val="000000"/>
          <w:szCs w:val="32"/>
        </w:rPr>
        <w:t>增强</w:t>
      </w:r>
      <w:r>
        <w:rPr>
          <w:rFonts w:ascii="仿宋_GB2312" w:hAnsi="仿宋_GB2312" w:cs="仿宋_GB2312"/>
          <w:color w:val="000000"/>
          <w:szCs w:val="32"/>
        </w:rPr>
        <w:t>安全韧性、推动</w:t>
      </w:r>
      <w:r>
        <w:rPr>
          <w:rFonts w:hint="eastAsia" w:ascii="仿宋_GB2312" w:hAnsi="仿宋_GB2312" w:cs="仿宋_GB2312"/>
          <w:color w:val="000000"/>
          <w:szCs w:val="32"/>
        </w:rPr>
        <w:t>数智</w:t>
      </w:r>
      <w:r>
        <w:rPr>
          <w:rFonts w:ascii="仿宋_GB2312" w:hAnsi="仿宋_GB2312" w:cs="仿宋_GB2312"/>
          <w:color w:val="000000"/>
          <w:szCs w:val="32"/>
        </w:rPr>
        <w:t>赋能和绿</w:t>
      </w:r>
      <w:r>
        <w:rPr>
          <w:rFonts w:hint="eastAsia" w:ascii="仿宋_GB2312" w:hAnsi="仿宋_GB2312" w:cs="仿宋_GB2312"/>
          <w:color w:val="000000"/>
          <w:szCs w:val="32"/>
        </w:rPr>
        <w:t>色</w:t>
      </w:r>
      <w:r>
        <w:rPr>
          <w:rFonts w:ascii="仿宋_GB2312" w:hAnsi="仿宋_GB2312" w:cs="仿宋_GB2312"/>
          <w:color w:val="000000"/>
          <w:szCs w:val="32"/>
        </w:rPr>
        <w:t>低碳发展统筹部署。</w:t>
      </w:r>
      <w:r>
        <w:rPr>
          <w:rFonts w:hint="eastAsia" w:ascii="仿宋_GB2312" w:hAnsi="仿宋_GB2312" w:cs="仿宋_GB2312"/>
          <w:color w:val="000000"/>
          <w:szCs w:val="32"/>
        </w:rPr>
        <w:t>《</w:t>
      </w:r>
      <w:r>
        <w:rPr>
          <w:rFonts w:ascii="仿宋_GB2312" w:hAnsi="仿宋_GB2312" w:cs="仿宋_GB2312"/>
          <w:color w:val="000000"/>
          <w:szCs w:val="32"/>
        </w:rPr>
        <w:t>深圳市国民经济和社会发展第十五个五年规划纲要</w:t>
      </w:r>
      <w:r>
        <w:rPr>
          <w:rFonts w:hint="eastAsia" w:ascii="仿宋_GB2312" w:hAnsi="仿宋_GB2312" w:cs="仿宋_GB2312"/>
          <w:color w:val="000000"/>
          <w:szCs w:val="32"/>
        </w:rPr>
        <w:t>》</w:t>
      </w:r>
      <w:r>
        <w:rPr>
          <w:rFonts w:ascii="仿宋_GB2312" w:hAnsi="仿宋_GB2312" w:cs="仿宋_GB2312"/>
          <w:color w:val="000000"/>
          <w:szCs w:val="32"/>
        </w:rPr>
        <w:t>明确</w:t>
      </w:r>
      <w:r>
        <w:rPr>
          <w:rFonts w:hint="eastAsia" w:ascii="仿宋_GB2312" w:hAnsi="仿宋_GB2312" w:cs="仿宋_GB2312"/>
          <w:color w:val="000000"/>
          <w:szCs w:val="32"/>
        </w:rPr>
        <w:t>完善现代化综合交通运输体系，</w:t>
      </w:r>
      <w:r>
        <w:rPr>
          <w:rFonts w:ascii="仿宋_GB2312" w:hAnsi="仿宋_GB2312" w:cs="仿宋_GB2312"/>
          <w:color w:val="000000"/>
          <w:szCs w:val="32"/>
        </w:rPr>
        <w:t>构建枢纽型国际物流中心、壮大低空经济和智能网联等新兴产业，部署50余项重大项目。</w:t>
      </w:r>
    </w:p>
    <w:p>
      <w:pPr>
        <w:ind w:firstLine="640"/>
        <w:rPr>
          <w:rFonts w:hint="eastAsia" w:ascii="仿宋_GB2312" w:hAnsi="仿宋_GB2312" w:cs="Times New Roman"/>
        </w:rPr>
      </w:pPr>
      <w:r>
        <w:rPr>
          <w:rFonts w:hint="eastAsia" w:ascii="仿宋_GB2312" w:hAnsi="仿宋_GB2312" w:cs="仿宋_GB2312"/>
          <w:color w:val="000000"/>
          <w:szCs w:val="32"/>
        </w:rPr>
        <w:t>“十五五”时期，全国、全省综合交通运输体系建设呈现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 w:hAnsi="仿宋_GB2312" w:cs="仿宋_GB2312"/>
          <w:color w:val="000000"/>
          <w:szCs w:val="32"/>
        </w:rPr>
        <w:t>三个转向”变化，重点聚焦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 w:hAnsi="仿宋_GB2312" w:cs="Times New Roman"/>
        </w:rPr>
        <w:t>一网四化”，加快完善现代化综合交通运输体系</w:t>
      </w:r>
      <w:bookmarkEnd w:id="26"/>
      <w:bookmarkEnd w:id="27"/>
      <w:r>
        <w:rPr>
          <w:rFonts w:hint="eastAsia" w:ascii="仿宋_GB2312" w:hAnsi="仿宋_GB2312" w:cs="Times New Roman"/>
        </w:rPr>
        <w:t>。贯彻落实上位规划发展要求，分析我市交通运输新阶段也呈现“三个转向”：</w:t>
      </w:r>
      <w:r>
        <w:rPr>
          <w:rFonts w:hint="eastAsia" w:ascii="仿宋_GB2312" w:hAnsi="仿宋_GB2312" w:cs="Times New Roman"/>
          <w:b/>
          <w:bCs/>
        </w:rPr>
        <w:t>一是</w:t>
      </w:r>
      <w:r>
        <w:rPr>
          <w:rFonts w:hint="eastAsia" w:ascii="仿宋_GB2312" w:hAnsi="仿宋_GB2312" w:cs="Times New Roman"/>
        </w:rPr>
        <w:t>交通需求由追求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 w:hAnsi="仿宋_GB2312" w:cs="Times New Roman"/>
        </w:rPr>
        <w:t>走得了”的基础通达，转向追求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 w:hAnsi="仿宋_GB2312" w:cs="Times New Roman"/>
        </w:rPr>
        <w:t>走得好”的便捷高效和多元化、一体化体验。</w:t>
      </w:r>
      <w:r>
        <w:rPr>
          <w:rFonts w:hint="eastAsia" w:ascii="仿宋_GB2312" w:hAnsi="仿宋_GB2312" w:cs="Times New Roman"/>
          <w:b/>
          <w:bCs/>
        </w:rPr>
        <w:t>二是</w:t>
      </w:r>
      <w:r>
        <w:rPr>
          <w:rFonts w:hint="eastAsia" w:ascii="仿宋_GB2312" w:hAnsi="仿宋_GB2312" w:cs="Times New Roman"/>
        </w:rPr>
        <w:t>发展动能由主要依靠要素驱动，转向依靠结构优化、数智赋能、绿色转型协同驱动。</w:t>
      </w:r>
      <w:r>
        <w:rPr>
          <w:rFonts w:hint="eastAsia" w:ascii="仿宋_GB2312" w:hAnsi="仿宋_GB2312" w:cs="Times New Roman"/>
          <w:b/>
          <w:bCs/>
        </w:rPr>
        <w:t>三是</w:t>
      </w:r>
      <w:r>
        <w:rPr>
          <w:rFonts w:hint="eastAsia" w:ascii="仿宋_GB2312" w:hAnsi="仿宋_GB2312" w:cs="Times New Roman"/>
        </w:rPr>
        <w:t>增长模式由大规模增量扩张，转向以做优增量、提质存量为主导的内涵式发展。</w:t>
      </w:r>
    </w:p>
    <w:p>
      <w:pPr>
        <w:adjustRightInd w:val="0"/>
        <w:snapToGrid w:val="0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“十五五”期间，我市</w:t>
      </w:r>
      <w:r>
        <w:rPr>
          <w:rFonts w:hint="eastAsia" w:ascii="仿宋_GB2312" w:cs="仿宋_GB2312"/>
          <w:szCs w:val="32"/>
        </w:rPr>
        <w:t>要</w:t>
      </w:r>
      <w:r>
        <w:rPr>
          <w:rFonts w:hint="eastAsia" w:ascii="仿宋_GB2312" w:hAnsi="仿宋_GB2312" w:cs="仿宋_GB2312"/>
          <w:szCs w:val="32"/>
        </w:rPr>
        <w:t>紧扣高质量发展主题，以完善现代化综合交通运输体系为主攻方向</w:t>
      </w:r>
      <w:r>
        <w:rPr>
          <w:rFonts w:hint="eastAsia" w:ascii="仿宋_GB2312" w:hAnsi="仿宋_GB2312"/>
        </w:rPr>
        <w:t>，</w:t>
      </w:r>
      <w:r>
        <w:rPr>
          <w:rFonts w:hint="eastAsia" w:ascii="仿宋_GB2312" w:hAnsi="仿宋_GB2312" w:cs="仿宋_GB2312"/>
          <w:szCs w:val="32"/>
        </w:rPr>
        <w:t>重点抓好“一网四化”。</w:t>
      </w:r>
    </w:p>
    <w:p>
      <w:pPr>
        <w:ind w:firstLine="643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“一网”</w:t>
      </w:r>
      <w:r>
        <w:rPr>
          <w:rFonts w:hint="eastAsia" w:ascii="仿宋_GB2312" w:hAnsi="仿宋_GB2312" w:cs="仿宋_GB2312"/>
          <w:szCs w:val="32"/>
        </w:rPr>
        <w:t>：</w:t>
      </w:r>
      <w:r>
        <w:rPr>
          <w:rFonts w:ascii="仿宋_GB2312" w:hAnsi="仿宋_GB2312" w:cs="仿宋_GB2312"/>
          <w:szCs w:val="32"/>
        </w:rPr>
        <w:t>加快</w:t>
      </w:r>
      <w:r>
        <w:rPr>
          <w:rFonts w:hint="eastAsia" w:ascii="仿宋_GB2312" w:hAnsi="仿宋_GB2312" w:cs="仿宋_GB2312"/>
          <w:szCs w:val="32"/>
        </w:rPr>
        <w:t>完善</w:t>
      </w:r>
      <w:r>
        <w:rPr>
          <w:rFonts w:ascii="仿宋_GB2312" w:hAnsi="仿宋_GB2312" w:cs="仿宋_GB2312"/>
          <w:szCs w:val="32"/>
        </w:rPr>
        <w:t>现代化综合立体交通网，</w:t>
      </w:r>
      <w:r>
        <w:rPr>
          <w:rFonts w:hint="eastAsia" w:ascii="仿宋_GB2312" w:hAnsi="仿宋_GB2312" w:cs="仿宋_GB2312"/>
          <w:szCs w:val="32"/>
        </w:rPr>
        <w:t>建设高质量</w:t>
      </w:r>
      <w:r>
        <w:rPr>
          <w:rFonts w:ascii="仿宋_GB2312" w:hAnsi="仿宋_GB2312" w:cs="仿宋_GB2312"/>
          <w:szCs w:val="32"/>
        </w:rPr>
        <w:t>综合</w:t>
      </w:r>
      <w:r>
        <w:rPr>
          <w:rFonts w:hint="eastAsia" w:ascii="仿宋_GB2312" w:hAnsi="仿宋_GB2312" w:cs="仿宋_GB2312"/>
          <w:szCs w:val="32"/>
        </w:rPr>
        <w:t>立体</w:t>
      </w:r>
      <w:r>
        <w:rPr>
          <w:rFonts w:ascii="仿宋_GB2312" w:hAnsi="仿宋_GB2312" w:cs="仿宋_GB2312"/>
          <w:szCs w:val="32"/>
        </w:rPr>
        <w:t>交通网络，提升枢纽能级与客货运输服务效能，优化城市交通体系与出行服务品质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ind w:firstLine="643"/>
        <w:rPr>
          <w:rFonts w:ascii="仿宋_GB2312" w:cs="Times New Roman"/>
        </w:rPr>
      </w:pPr>
      <w:r>
        <w:rPr>
          <w:rFonts w:hint="eastAsia" w:ascii="仿宋_GB2312" w:hAnsi="仿宋_GB2312" w:cs="仿宋_GB2312"/>
          <w:b/>
          <w:bCs/>
          <w:szCs w:val="32"/>
        </w:rPr>
        <w:t>“四化”</w:t>
      </w:r>
      <w:r>
        <w:rPr>
          <w:rFonts w:hint="eastAsia" w:ascii="仿宋_GB2312" w:hAnsi="仿宋_GB2312" w:cs="仿宋_GB2312"/>
          <w:szCs w:val="32"/>
        </w:rPr>
        <w:t>：</w:t>
      </w:r>
      <w:r>
        <w:rPr>
          <w:rFonts w:hint="eastAsia" w:ascii="仿宋_GB2312" w:hAnsi="仿宋_GB2312" w:cs="仿宋_GB2312"/>
          <w:b/>
          <w:bCs/>
          <w:szCs w:val="32"/>
        </w:rPr>
        <w:t>一是突出一体化融合</w:t>
      </w:r>
      <w:r>
        <w:rPr>
          <w:rFonts w:hint="eastAsia" w:ascii="仿宋_GB2312" w:hAnsi="仿宋_GB2312" w:cs="仿宋_GB2312"/>
          <w:szCs w:val="32"/>
        </w:rPr>
        <w:t>，强化跨方式、跨领域、跨区域融合发展。</w:t>
      </w:r>
      <w:r>
        <w:rPr>
          <w:rFonts w:hint="eastAsia" w:ascii="仿宋_GB2312" w:hAnsi="仿宋_GB2312" w:cs="仿宋_GB2312"/>
          <w:b/>
          <w:bCs/>
          <w:szCs w:val="32"/>
        </w:rPr>
        <w:t>二是突出安全化提升</w:t>
      </w:r>
      <w:r>
        <w:rPr>
          <w:rFonts w:hint="eastAsia" w:ascii="仿宋_GB2312" w:hAnsi="仿宋_GB2312" w:cs="仿宋_GB2312"/>
          <w:szCs w:val="32"/>
        </w:rPr>
        <w:t>，守牢安全发展底线，提升</w:t>
      </w:r>
      <w:r>
        <w:rPr>
          <w:rFonts w:hint="eastAsia" w:ascii="仿宋_GB2312" w:cs="仿宋_GB2312"/>
          <w:szCs w:val="32"/>
        </w:rPr>
        <w:t>交通</w:t>
      </w:r>
      <w:r>
        <w:rPr>
          <w:rFonts w:hint="eastAsia" w:ascii="仿宋_GB2312" w:hAnsi="仿宋_GB2312" w:cs="仿宋_GB2312"/>
          <w:szCs w:val="32"/>
        </w:rPr>
        <w:t>基础设施安全韧性</w:t>
      </w:r>
      <w:r>
        <w:rPr>
          <w:rFonts w:hint="eastAsia" w:ascii="仿宋_GB2312" w:cs="仿宋_GB2312"/>
          <w:szCs w:val="32"/>
        </w:rPr>
        <w:t>，提高行业安全治理水平</w:t>
      </w:r>
      <w:r>
        <w:rPr>
          <w:rFonts w:hint="eastAsia" w:ascii="仿宋_GB2312" w:hAnsi="仿宋_GB2312" w:cs="仿宋_GB2312"/>
          <w:szCs w:val="32"/>
        </w:rPr>
        <w:t>。</w:t>
      </w:r>
      <w:r>
        <w:rPr>
          <w:rFonts w:hint="eastAsia" w:ascii="仿宋_GB2312" w:hAnsi="仿宋_GB2312" w:cs="仿宋_GB2312"/>
          <w:b/>
          <w:bCs/>
          <w:szCs w:val="32"/>
        </w:rPr>
        <w:t>三是突出数智化升级</w:t>
      </w:r>
      <w:r>
        <w:rPr>
          <w:rFonts w:hint="eastAsia" w:ascii="仿宋_GB2312" w:hAnsi="仿宋_GB2312" w:cs="仿宋_GB2312"/>
          <w:szCs w:val="32"/>
        </w:rPr>
        <w:t>，培育</w:t>
      </w:r>
      <w:r>
        <w:rPr>
          <w:rFonts w:hint="eastAsia" w:ascii="仿宋_GB2312" w:cs="仿宋_GB2312"/>
          <w:szCs w:val="32"/>
        </w:rPr>
        <w:t>发展</w:t>
      </w:r>
      <w:r>
        <w:rPr>
          <w:rFonts w:hint="eastAsia" w:ascii="仿宋_GB2312" w:hAnsi="仿宋_GB2312" w:cs="仿宋_GB2312"/>
          <w:szCs w:val="32"/>
        </w:rPr>
        <w:t>低空</w:t>
      </w:r>
      <w:r>
        <w:rPr>
          <w:rFonts w:hint="eastAsia" w:ascii="仿宋_GB2312" w:cs="仿宋_GB2312"/>
          <w:szCs w:val="32"/>
        </w:rPr>
        <w:t>经济</w:t>
      </w:r>
      <w:r>
        <w:rPr>
          <w:rFonts w:hint="eastAsia" w:ascii="仿宋_GB2312" w:hAnsi="仿宋_GB2312" w:cs="仿宋_GB2312"/>
          <w:szCs w:val="32"/>
        </w:rPr>
        <w:t>、智能网联等</w:t>
      </w:r>
      <w:r>
        <w:rPr>
          <w:rFonts w:hint="eastAsia" w:ascii="仿宋_GB2312" w:cs="仿宋_GB2312"/>
          <w:szCs w:val="32"/>
        </w:rPr>
        <w:t>新质生产力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cs="仿宋_GB2312"/>
          <w:szCs w:val="32"/>
        </w:rPr>
        <w:t>加大存量交通基础设施更新和数智化改造力度，增强发展新动能</w:t>
      </w:r>
      <w:r>
        <w:rPr>
          <w:rFonts w:hint="eastAsia" w:ascii="仿宋_GB2312" w:hAnsi="仿宋_GB2312" w:cs="仿宋_GB2312"/>
          <w:szCs w:val="32"/>
        </w:rPr>
        <w:t>。</w:t>
      </w:r>
      <w:r>
        <w:rPr>
          <w:rFonts w:hint="eastAsia" w:ascii="仿宋_GB2312" w:hAnsi="仿宋_GB2312" w:cs="仿宋_GB2312"/>
          <w:b/>
          <w:bCs/>
          <w:szCs w:val="32"/>
        </w:rPr>
        <w:t>四是突出绿色化转型</w:t>
      </w:r>
      <w:r>
        <w:rPr>
          <w:rFonts w:hint="eastAsia" w:ascii="仿宋_GB2312" w:hAnsi="仿宋_GB2312" w:cs="仿宋_GB2312"/>
          <w:szCs w:val="32"/>
        </w:rPr>
        <w:t>，持续优化交通运输方式</w:t>
      </w:r>
      <w:r>
        <w:rPr>
          <w:rFonts w:hint="eastAsia" w:ascii="仿宋_GB2312" w:hAnsi="仿宋_GB2312"/>
        </w:rPr>
        <w:t>，</w:t>
      </w:r>
      <w:r>
        <w:rPr>
          <w:rFonts w:hint="eastAsia" w:ascii="仿宋_GB2312" w:cs="仿宋_GB2312"/>
          <w:szCs w:val="32"/>
        </w:rPr>
        <w:t>鼓励引导绿色出行，</w:t>
      </w:r>
      <w:r>
        <w:rPr>
          <w:rFonts w:hint="eastAsia" w:ascii="仿宋_GB2312" w:hAnsi="仿宋_GB2312" w:cs="仿宋_GB2312"/>
          <w:szCs w:val="32"/>
        </w:rPr>
        <w:t>推广应用清洁能源装备</w:t>
      </w:r>
      <w:r>
        <w:rPr>
          <w:rFonts w:hint="eastAsia" w:ascii="仿宋_GB2312" w:cs="仿宋_GB2312"/>
          <w:szCs w:val="32"/>
        </w:rPr>
        <w:t>。</w:t>
      </w:r>
    </w:p>
    <w:p>
      <w:pPr>
        <w:pStyle w:val="3"/>
        <w:numPr>
          <w:ilvl w:val="0"/>
          <w:numId w:val="0"/>
        </w:numPr>
        <w:jc w:val="both"/>
        <w:rPr>
          <w:rFonts w:cs="Times New Roman"/>
          <w:b w:val="0"/>
          <w:bCs w:val="0"/>
        </w:rPr>
        <w:sectPr>
          <w:footerReference r:id="rId11" w:type="default"/>
          <w:footerReference r:id="rId12" w:type="even"/>
          <w:footnotePr>
            <w:numRestart w:val="eachPage"/>
          </w:footnotePr>
          <w:type w:val="continuous"/>
          <w:pgSz w:w="11906" w:h="16838"/>
          <w:pgMar w:top="1440" w:right="1800" w:bottom="1440" w:left="1800" w:header="794" w:footer="992" w:gutter="0"/>
          <w:pgNumType w:start="1"/>
          <w:cols w:space="425" w:num="1"/>
          <w:docGrid w:type="lines" w:linePitch="435" w:charSpace="0"/>
        </w:sectPr>
      </w:pPr>
      <w:bookmarkStart w:id="32" w:name="_Toc31753"/>
    </w:p>
    <w:p>
      <w:pPr>
        <w:pStyle w:val="3"/>
        <w:numPr>
          <w:ilvl w:val="0"/>
          <w:numId w:val="0"/>
        </w:numPr>
        <w:rPr>
          <w:rFonts w:cs="Times New Roman"/>
          <w:b w:val="0"/>
          <w:bCs w:val="0"/>
        </w:rPr>
      </w:pPr>
      <w:bookmarkStart w:id="33" w:name="_Toc228352977"/>
      <w:r>
        <w:rPr>
          <w:rFonts w:hint="eastAsia" w:cs="Times New Roman"/>
          <w:b w:val="0"/>
          <w:bCs w:val="0"/>
        </w:rPr>
        <w:t xml:space="preserve">第二章 </w:t>
      </w:r>
      <w:r>
        <w:fldChar w:fldCharType="begin"/>
      </w:r>
      <w:r>
        <w:instrText xml:space="preserve"> HYPERLINK \l "_Toc328672479" </w:instrText>
      </w:r>
      <w:r>
        <w:fldChar w:fldCharType="separate"/>
      </w:r>
      <w:bookmarkStart w:id="34" w:name="_Toc216786887"/>
      <w:r>
        <w:rPr>
          <w:rFonts w:hint="eastAsia" w:cs="Times New Roman"/>
          <w:b w:val="0"/>
          <w:bCs w:val="0"/>
        </w:rPr>
        <w:t>总体要求</w:t>
      </w:r>
      <w:bookmarkEnd w:id="33"/>
      <w:bookmarkEnd w:id="34"/>
      <w:r>
        <w:rPr>
          <w:rFonts w:hint="eastAsia" w:cs="Times New Roman"/>
          <w:b w:val="0"/>
          <w:bCs w:val="0"/>
        </w:rPr>
        <w:fldChar w:fldCharType="end"/>
      </w:r>
      <w:bookmarkEnd w:id="28"/>
      <w:bookmarkEnd w:id="29"/>
      <w:bookmarkEnd w:id="32"/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35" w:name="_Toc31505"/>
      <w:bookmarkStart w:id="36" w:name="_Toc226556352"/>
      <w:bookmarkStart w:id="37" w:name="_Toc228352978"/>
      <w:bookmarkStart w:id="38" w:name="_Toc216786888"/>
      <w:r>
        <w:rPr>
          <w:rFonts w:hint="eastAsia" w:ascii="Times New Roman" w:cs="Times New Roman"/>
          <w:szCs w:val="22"/>
        </w:rPr>
        <w:t>第一节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指导思想</w:t>
      </w:r>
      <w:bookmarkEnd w:id="35"/>
      <w:bookmarkEnd w:id="36"/>
      <w:bookmarkEnd w:id="37"/>
      <w:bookmarkEnd w:id="38"/>
    </w:p>
    <w:p>
      <w:pPr>
        <w:widowControl/>
        <w:ind w:firstLine="640"/>
        <w:rPr>
          <w:rFonts w:ascii="仿宋_GB2312" w:cs="Times New Roman"/>
          <w:color w:val="000000"/>
          <w:szCs w:val="32"/>
        </w:rPr>
      </w:pPr>
      <w:r>
        <w:rPr>
          <w:rFonts w:hint="eastAsia" w:ascii="仿宋_GB2312" w:cs="Times New Roman"/>
          <w:color w:val="000000"/>
          <w:szCs w:val="32"/>
        </w:rPr>
        <w:t>以</w:t>
      </w:r>
      <w:r>
        <w:rPr>
          <w:rFonts w:ascii="仿宋_GB2312" w:cs="Times New Roman"/>
          <w:color w:val="000000"/>
          <w:szCs w:val="32"/>
        </w:rPr>
        <w:t>习近平新时代中国特色社会主义思想</w:t>
      </w:r>
      <w:r>
        <w:rPr>
          <w:rFonts w:hint="eastAsia" w:ascii="仿宋_GB2312" w:cs="Times New Roman"/>
          <w:color w:val="000000"/>
          <w:szCs w:val="32"/>
        </w:rPr>
        <w:t>为指导</w:t>
      </w:r>
      <w:r>
        <w:rPr>
          <w:rFonts w:ascii="仿宋_GB2312" w:cs="Times New Roman"/>
          <w:color w:val="000000"/>
          <w:szCs w:val="32"/>
        </w:rPr>
        <w:t>，</w:t>
      </w:r>
      <w:r>
        <w:rPr>
          <w:rFonts w:hint="eastAsia" w:ascii="仿宋_GB2312" w:hAnsi="仿宋_GB2312" w:cs="仿宋_GB2312"/>
        </w:rPr>
        <w:t>全面贯彻落实</w:t>
      </w:r>
      <w:r>
        <w:rPr>
          <w:rFonts w:ascii="仿宋_GB2312" w:cs="Times New Roman"/>
          <w:color w:val="000000"/>
          <w:szCs w:val="32"/>
        </w:rPr>
        <w:t>党的二十大和二十届历次全会精神</w:t>
      </w:r>
      <w:r>
        <w:rPr>
          <w:rFonts w:hint="eastAsia" w:ascii="仿宋_GB2312" w:hAnsi="仿宋_GB2312" w:cs="仿宋_GB2312"/>
        </w:rPr>
        <w:t>以及中央经济工作会议精神</w:t>
      </w:r>
      <w:r>
        <w:rPr>
          <w:rFonts w:ascii="仿宋_GB2312" w:cs="Times New Roman"/>
          <w:color w:val="000000"/>
          <w:szCs w:val="32"/>
        </w:rPr>
        <w:t>，</w:t>
      </w:r>
      <w:r>
        <w:rPr>
          <w:rFonts w:hint="eastAsia" w:ascii="仿宋_GB2312" w:hAnsi="仿宋_GB2312" w:cs="仿宋_GB2312"/>
        </w:rPr>
        <w:t>深入学习习近平总书记关于交通强国的重要论述，</w:t>
      </w:r>
      <w:r>
        <w:rPr>
          <w:rFonts w:hint="eastAsia" w:ascii="仿宋_GB2312" w:cs="Times New Roman"/>
          <w:color w:val="000000"/>
          <w:szCs w:val="32"/>
        </w:rPr>
        <w:t>认真</w:t>
      </w:r>
      <w:r>
        <w:rPr>
          <w:rFonts w:ascii="仿宋_GB2312" w:cs="Times New Roman"/>
          <w:color w:val="000000"/>
          <w:szCs w:val="32"/>
        </w:rPr>
        <w:t>贯彻</w:t>
      </w:r>
      <w:r>
        <w:rPr>
          <w:rFonts w:hint="eastAsia" w:ascii="仿宋_GB2312" w:cs="Times New Roman"/>
          <w:color w:val="000000"/>
          <w:szCs w:val="32"/>
        </w:rPr>
        <w:t>落实</w:t>
      </w:r>
      <w:r>
        <w:rPr>
          <w:rFonts w:ascii="仿宋_GB2312" w:cs="Times New Roman"/>
          <w:color w:val="000000"/>
          <w:szCs w:val="32"/>
        </w:rPr>
        <w:t>习近平总书记对广东、深圳系列重要讲话和重要指示精神，落实省委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cs="Times New Roman"/>
          <w:color w:val="000000"/>
          <w:szCs w:val="32"/>
        </w:rPr>
        <w:t>1310</w:t>
      </w:r>
      <w:r>
        <w:rPr>
          <w:rFonts w:hint="eastAsia" w:ascii="仿宋_GB2312" w:cs="Times New Roman"/>
          <w:color w:val="000000"/>
          <w:szCs w:val="32"/>
        </w:rPr>
        <w:t>”</w:t>
      </w:r>
      <w:r>
        <w:rPr>
          <w:rFonts w:ascii="仿宋_GB2312" w:cs="Times New Roman"/>
          <w:color w:val="000000"/>
          <w:szCs w:val="32"/>
        </w:rPr>
        <w:t>具体部署，</w:t>
      </w:r>
      <w:r>
        <w:rPr>
          <w:rFonts w:hint="eastAsia" w:ascii="仿宋_GB2312" w:cs="Times New Roman"/>
          <w:color w:val="000000"/>
          <w:szCs w:val="32"/>
        </w:rPr>
        <w:t>认真践行人民城市理念，以推动交通运输高质量发展为主题，加快构建</w:t>
      </w:r>
      <w:r>
        <w:rPr>
          <w:rFonts w:ascii="仿宋_GB2312" w:cs="Times New Roman"/>
          <w:color w:val="000000"/>
          <w:szCs w:val="32"/>
        </w:rPr>
        <w:t>便捷</w:t>
      </w:r>
      <w:r>
        <w:rPr>
          <w:rFonts w:hint="eastAsia" w:ascii="仿宋_GB2312" w:cs="Times New Roman"/>
          <w:color w:val="000000"/>
          <w:szCs w:val="32"/>
        </w:rPr>
        <w:t>顺畅</w:t>
      </w:r>
      <w:r>
        <w:rPr>
          <w:rFonts w:ascii="仿宋_GB2312" w:cs="Times New Roman"/>
          <w:color w:val="000000"/>
          <w:szCs w:val="32"/>
        </w:rPr>
        <w:t>、</w:t>
      </w:r>
      <w:r>
        <w:rPr>
          <w:rFonts w:hint="eastAsia" w:ascii="仿宋_GB2312" w:cs="Times New Roman"/>
          <w:color w:val="000000"/>
          <w:szCs w:val="32"/>
        </w:rPr>
        <w:t>经济高效、</w:t>
      </w:r>
      <w:r>
        <w:rPr>
          <w:rFonts w:ascii="仿宋_GB2312" w:cs="Times New Roman"/>
          <w:color w:val="000000"/>
          <w:szCs w:val="32"/>
        </w:rPr>
        <w:t>绿色</w:t>
      </w:r>
      <w:r>
        <w:rPr>
          <w:rFonts w:hint="eastAsia" w:ascii="仿宋_GB2312" w:cs="Times New Roman"/>
          <w:color w:val="000000"/>
          <w:szCs w:val="32"/>
        </w:rPr>
        <w:t>集约</w:t>
      </w:r>
      <w:r>
        <w:rPr>
          <w:rFonts w:ascii="仿宋_GB2312" w:cs="Times New Roman"/>
          <w:color w:val="000000"/>
          <w:szCs w:val="32"/>
        </w:rPr>
        <w:t>、</w:t>
      </w:r>
      <w:r>
        <w:rPr>
          <w:rFonts w:hint="eastAsia" w:ascii="仿宋_GB2312" w:cs="Times New Roman"/>
          <w:color w:val="000000"/>
          <w:szCs w:val="32"/>
        </w:rPr>
        <w:t>智能先进、安全可靠</w:t>
      </w:r>
      <w:r>
        <w:rPr>
          <w:rFonts w:ascii="仿宋_GB2312" w:cs="Times New Roman"/>
          <w:color w:val="000000"/>
          <w:szCs w:val="32"/>
        </w:rPr>
        <w:t>的</w:t>
      </w:r>
      <w:r>
        <w:rPr>
          <w:rFonts w:hint="eastAsia" w:ascii="仿宋_GB2312" w:cs="Times New Roman"/>
          <w:color w:val="000000"/>
          <w:szCs w:val="32"/>
        </w:rPr>
        <w:t>现代化综合立体交通网络和服务体系，助力提升粤港澳大湾区基础设施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 w:cs="Times New Roman"/>
          <w:color w:val="000000"/>
          <w:szCs w:val="32"/>
        </w:rPr>
        <w:t>硬联通”和规则机制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 w:cs="Times New Roman"/>
          <w:color w:val="000000"/>
          <w:szCs w:val="32"/>
        </w:rPr>
        <w:t>软联通”水平</w:t>
      </w:r>
      <w:r>
        <w:rPr>
          <w:rFonts w:ascii="仿宋_GB2312" w:cs="Times New Roman"/>
          <w:color w:val="000000"/>
          <w:szCs w:val="32"/>
        </w:rPr>
        <w:t>，</w:t>
      </w:r>
      <w:r>
        <w:rPr>
          <w:rFonts w:hint="eastAsia" w:ascii="仿宋_GB2312" w:cs="Times New Roman"/>
          <w:color w:val="000000"/>
          <w:szCs w:val="32"/>
        </w:rPr>
        <w:t>为深圳建设</w:t>
      </w:r>
      <w:r>
        <w:rPr>
          <w:rFonts w:ascii="仿宋_GB2312" w:cs="Times New Roman"/>
          <w:color w:val="000000"/>
          <w:szCs w:val="32"/>
        </w:rPr>
        <w:t>更具全球影响力的现代化国际大都市</w:t>
      </w:r>
      <w:r>
        <w:rPr>
          <w:rFonts w:hint="eastAsia" w:ascii="仿宋_GB2312" w:cs="Times New Roman"/>
          <w:color w:val="000000"/>
          <w:szCs w:val="32"/>
        </w:rPr>
        <w:t>和</w:t>
      </w:r>
      <w:r>
        <w:rPr>
          <w:rFonts w:ascii="仿宋_GB2312" w:cs="Times New Roman"/>
          <w:color w:val="000000"/>
          <w:szCs w:val="32"/>
        </w:rPr>
        <w:t>经济中心城市提供更加坚强有力的交通运输保障。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39" w:name="_Toc226556353"/>
      <w:bookmarkStart w:id="40" w:name="_Toc216786889"/>
      <w:bookmarkStart w:id="41" w:name="_Toc22785"/>
      <w:bookmarkStart w:id="42" w:name="_Toc14972"/>
      <w:bookmarkStart w:id="43" w:name="_Toc89009842"/>
      <w:bookmarkStart w:id="44" w:name="_Toc93399009"/>
      <w:bookmarkStart w:id="45" w:name="_Toc2070"/>
      <w:bookmarkStart w:id="46" w:name="_Toc28172"/>
      <w:bookmarkStart w:id="47" w:name="_Toc228352979"/>
      <w:bookmarkStart w:id="48" w:name="_Toc27459"/>
      <w:bookmarkStart w:id="49" w:name="_Toc16493"/>
      <w:bookmarkStart w:id="50" w:name="_Toc93867815"/>
      <w:bookmarkStart w:id="51" w:name="_Toc7838"/>
      <w:r>
        <w:rPr>
          <w:rFonts w:hint="eastAsia" w:ascii="Times New Roman" w:cs="Times New Roman"/>
          <w:szCs w:val="22"/>
        </w:rPr>
        <w:t>第二节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基本原则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>
      <w:pPr>
        <w:widowControl/>
        <w:ind w:firstLine="640" w:firstLineChars="0"/>
        <w:rPr>
          <w:rFonts w:ascii="仿宋_GB2312" w:cs="Times New Roman"/>
          <w:color w:val="000000"/>
          <w:szCs w:val="32"/>
        </w:rPr>
      </w:pPr>
      <w:r>
        <w:rPr>
          <w:rFonts w:ascii="仿宋_GB2312" w:cs="Times New Roman"/>
          <w:b/>
          <w:bCs/>
          <w:color w:val="000000"/>
          <w:szCs w:val="32"/>
        </w:rPr>
        <w:t>人民至上，公平包容。</w:t>
      </w:r>
      <w:r>
        <w:rPr>
          <w:rFonts w:ascii="仿宋_GB2312" w:cs="Times New Roman"/>
          <w:color w:val="000000"/>
          <w:szCs w:val="32"/>
        </w:rPr>
        <w:t>坚持以人民为中心，聚焦全龄友好，</w:t>
      </w:r>
      <w:r>
        <w:rPr>
          <w:rFonts w:hint="eastAsia" w:ascii="仿宋_GB2312" w:cs="Times New Roman"/>
          <w:color w:val="000000"/>
          <w:szCs w:val="32"/>
        </w:rPr>
        <w:t>优化</w:t>
      </w:r>
      <w:r>
        <w:rPr>
          <w:rFonts w:ascii="仿宋_GB2312" w:cs="Times New Roman"/>
          <w:color w:val="000000"/>
          <w:szCs w:val="32"/>
        </w:rPr>
        <w:t>交通环境，推动公共交通服务均等化，提供多样化、个性化、高品质的出行服务，切实增强人民群众的获得感、幸福感和安全感。</w:t>
      </w:r>
    </w:p>
    <w:p>
      <w:pPr>
        <w:widowControl/>
        <w:ind w:firstLine="640" w:firstLineChars="0"/>
        <w:rPr>
          <w:rFonts w:ascii="仿宋_GB2312" w:cs="Times New Roman"/>
          <w:color w:val="000000"/>
          <w:szCs w:val="32"/>
        </w:rPr>
      </w:pPr>
      <w:r>
        <w:rPr>
          <w:rFonts w:ascii="仿宋_GB2312" w:cs="Times New Roman"/>
          <w:b/>
          <w:bCs/>
          <w:color w:val="000000"/>
          <w:szCs w:val="32"/>
        </w:rPr>
        <w:t>区域联动，协同共治。</w:t>
      </w:r>
      <w:r>
        <w:rPr>
          <w:rFonts w:ascii="仿宋_GB2312" w:cs="Times New Roman"/>
          <w:color w:val="000000"/>
          <w:szCs w:val="32"/>
        </w:rPr>
        <w:t>服务粤港澳大湾区一体化，扎实推进广深</w:t>
      </w:r>
      <w:r>
        <w:rPr>
          <w:rFonts w:hint="eastAsia" w:ascii="仿宋_GB2312" w:cs="Times New Roman"/>
          <w:color w:val="000000"/>
          <w:szCs w:val="32"/>
        </w:rPr>
        <w:t>“</w:t>
      </w:r>
      <w:r>
        <w:rPr>
          <w:rFonts w:ascii="仿宋_GB2312" w:cs="Times New Roman"/>
          <w:color w:val="000000"/>
          <w:szCs w:val="32"/>
        </w:rPr>
        <w:t>双城联动</w:t>
      </w:r>
      <w:r>
        <w:rPr>
          <w:rFonts w:hint="eastAsia" w:ascii="仿宋_GB2312" w:cs="Times New Roman"/>
          <w:color w:val="000000"/>
          <w:szCs w:val="32"/>
        </w:rPr>
        <w:t>”，</w:t>
      </w:r>
      <w:r>
        <w:rPr>
          <w:rFonts w:ascii="仿宋_GB2312" w:cs="Times New Roman"/>
          <w:color w:val="000000"/>
          <w:szCs w:val="32"/>
        </w:rPr>
        <w:t>强化深港基础设施</w:t>
      </w:r>
      <w:r>
        <w:rPr>
          <w:rFonts w:hint="eastAsia" w:ascii="仿宋_GB2312" w:cs="Times New Roman"/>
          <w:color w:val="000000"/>
          <w:szCs w:val="32"/>
        </w:rPr>
        <w:t>“</w:t>
      </w:r>
      <w:r>
        <w:rPr>
          <w:rFonts w:ascii="仿宋_GB2312" w:cs="Times New Roman"/>
          <w:color w:val="000000"/>
          <w:szCs w:val="32"/>
        </w:rPr>
        <w:t>硬联通</w:t>
      </w:r>
      <w:r>
        <w:rPr>
          <w:rFonts w:hint="eastAsia" w:ascii="仿宋_GB2312" w:cs="Times New Roman"/>
          <w:color w:val="000000"/>
          <w:szCs w:val="32"/>
        </w:rPr>
        <w:t>”</w:t>
      </w:r>
      <w:r>
        <w:rPr>
          <w:rFonts w:ascii="仿宋_GB2312" w:cs="Times New Roman"/>
          <w:color w:val="000000"/>
          <w:szCs w:val="32"/>
        </w:rPr>
        <w:t>与规则机制</w:t>
      </w:r>
      <w:r>
        <w:rPr>
          <w:rFonts w:hint="eastAsia" w:ascii="仿宋_GB2312" w:cs="Times New Roman"/>
          <w:color w:val="000000"/>
          <w:szCs w:val="32"/>
        </w:rPr>
        <w:t>“</w:t>
      </w:r>
      <w:r>
        <w:rPr>
          <w:rFonts w:ascii="仿宋_GB2312" w:cs="Times New Roman"/>
          <w:color w:val="000000"/>
          <w:szCs w:val="32"/>
        </w:rPr>
        <w:t>软联通</w:t>
      </w:r>
      <w:r>
        <w:rPr>
          <w:rFonts w:hint="eastAsia" w:ascii="仿宋_GB2312" w:cs="Times New Roman"/>
          <w:color w:val="000000"/>
          <w:szCs w:val="32"/>
        </w:rPr>
        <w:t>”</w:t>
      </w:r>
      <w:r>
        <w:rPr>
          <w:rFonts w:ascii="仿宋_GB2312" w:cs="Times New Roman"/>
          <w:color w:val="000000"/>
          <w:szCs w:val="32"/>
        </w:rPr>
        <w:t>，</w:t>
      </w:r>
      <w:r>
        <w:rPr>
          <w:rFonts w:hint="eastAsia" w:ascii="仿宋_GB2312" w:cs="Times New Roman"/>
          <w:color w:val="000000"/>
          <w:szCs w:val="32"/>
        </w:rPr>
        <w:t>加快深圳</w:t>
      </w:r>
      <w:r>
        <w:rPr>
          <w:rFonts w:ascii="仿宋_GB2312" w:cs="Times New Roman"/>
          <w:color w:val="000000"/>
          <w:szCs w:val="32"/>
        </w:rPr>
        <w:t>都市圈交通</w:t>
      </w:r>
      <w:r>
        <w:rPr>
          <w:rFonts w:hint="eastAsia" w:ascii="仿宋_GB2312" w:cs="Times New Roman"/>
          <w:color w:val="000000"/>
          <w:szCs w:val="32"/>
        </w:rPr>
        <w:t>同城化建设，推动跨市交通设施</w:t>
      </w:r>
      <w:r>
        <w:rPr>
          <w:rFonts w:ascii="仿宋_GB2312" w:cs="Times New Roman"/>
          <w:color w:val="000000"/>
          <w:szCs w:val="32"/>
        </w:rPr>
        <w:t>互联互通、运输服务共建共享，深化区域协同治理机制改革，促进交通要素自由流动和高效配置。</w:t>
      </w:r>
    </w:p>
    <w:p>
      <w:pPr>
        <w:widowControl/>
        <w:ind w:firstLine="640" w:firstLineChars="0"/>
        <w:rPr>
          <w:rFonts w:ascii="仿宋_GB2312" w:cs="Times New Roman"/>
          <w:color w:val="000000"/>
          <w:szCs w:val="32"/>
        </w:rPr>
      </w:pPr>
      <w:r>
        <w:rPr>
          <w:rFonts w:ascii="仿宋_GB2312" w:cs="Times New Roman"/>
          <w:b/>
          <w:bCs/>
          <w:color w:val="000000"/>
          <w:szCs w:val="32"/>
        </w:rPr>
        <w:t>创新驱动，智慧引领。</w:t>
      </w:r>
      <w:r>
        <w:rPr>
          <w:rFonts w:ascii="仿宋_GB2312" w:cs="Times New Roman"/>
          <w:color w:val="000000"/>
          <w:szCs w:val="32"/>
        </w:rPr>
        <w:t>抢抓新一轮科技革命机遇，推动人工智能等新技术与交通深度融合，大力发展低空经济、智能网联等新业态，加快交通基础设施数字化转型，深化管理体制机制改革，打造全球交通科技创新高地。</w:t>
      </w:r>
    </w:p>
    <w:p>
      <w:pPr>
        <w:widowControl/>
        <w:ind w:firstLine="640" w:firstLineChars="0"/>
        <w:rPr>
          <w:rFonts w:ascii="仿宋_GB2312" w:cs="Times New Roman"/>
          <w:color w:val="000000"/>
          <w:szCs w:val="32"/>
        </w:rPr>
      </w:pPr>
      <w:r>
        <w:rPr>
          <w:rFonts w:ascii="仿宋_GB2312" w:cs="Times New Roman"/>
          <w:b/>
          <w:bCs/>
          <w:color w:val="000000"/>
          <w:szCs w:val="32"/>
        </w:rPr>
        <w:t>绿色转型，安全发展。</w:t>
      </w:r>
      <w:r>
        <w:rPr>
          <w:rFonts w:ascii="仿宋_GB2312" w:cs="Times New Roman"/>
          <w:color w:val="000000"/>
          <w:szCs w:val="32"/>
        </w:rPr>
        <w:t>全面落实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cs="Times New Roman"/>
          <w:color w:val="000000"/>
          <w:szCs w:val="32"/>
        </w:rPr>
        <w:t>双碳</w:t>
      </w:r>
      <w:r>
        <w:rPr>
          <w:rFonts w:hint="eastAsia" w:ascii="仿宋_GB2312" w:cs="Times New Roman"/>
          <w:color w:val="000000"/>
          <w:szCs w:val="32"/>
        </w:rPr>
        <w:t>”</w:t>
      </w:r>
      <w:r>
        <w:rPr>
          <w:rFonts w:ascii="仿宋_GB2312" w:cs="Times New Roman"/>
          <w:color w:val="000000"/>
          <w:szCs w:val="32"/>
        </w:rPr>
        <w:t>战略，推动交通运输结构优化调整，</w:t>
      </w:r>
      <w:r>
        <w:rPr>
          <w:rFonts w:hint="eastAsia" w:ascii="仿宋_GB2312" w:cs="Times New Roman"/>
          <w:color w:val="000000"/>
          <w:szCs w:val="32"/>
        </w:rPr>
        <w:t>加快</w:t>
      </w:r>
      <w:r>
        <w:rPr>
          <w:rFonts w:ascii="仿宋_GB2312" w:cs="Times New Roman"/>
          <w:color w:val="000000"/>
          <w:szCs w:val="32"/>
        </w:rPr>
        <w:t>构建绿色低碳交通体系。统筹高质量发展和高水平安全，提升交通基础设施韧性，完善安全风险防控体系，筑牢交通安全防线。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52" w:name="_Toc226556354"/>
      <w:bookmarkStart w:id="53" w:name="_Toc228352980"/>
      <w:r>
        <w:rPr>
          <w:rFonts w:hint="eastAsia" w:ascii="Times New Roman" w:cs="Times New Roman"/>
          <w:szCs w:val="22"/>
        </w:rPr>
        <w:t>第三节</w:t>
      </w:r>
      <w:r>
        <w:rPr>
          <w:rFonts w:ascii="Times New Roman" w:cs="Times New Roman"/>
          <w:szCs w:val="22"/>
        </w:rPr>
        <w:t xml:space="preserve"> </w:t>
      </w:r>
      <w:bookmarkStart w:id="54" w:name="_Toc224660046"/>
      <w:bookmarkEnd w:id="54"/>
      <w:bookmarkStart w:id="55" w:name="_Toc224660044"/>
      <w:bookmarkEnd w:id="55"/>
      <w:bookmarkStart w:id="56" w:name="_Toc224660045"/>
      <w:bookmarkEnd w:id="56"/>
      <w:bookmarkStart w:id="57" w:name="_Toc224719615"/>
      <w:bookmarkEnd w:id="57"/>
      <w:bookmarkStart w:id="58" w:name="_Toc224719613"/>
      <w:bookmarkEnd w:id="58"/>
      <w:bookmarkStart w:id="59" w:name="_Toc224719612"/>
      <w:bookmarkEnd w:id="59"/>
      <w:bookmarkStart w:id="60" w:name="_Toc224719614"/>
      <w:bookmarkEnd w:id="60"/>
      <w:bookmarkStart w:id="61" w:name="_Toc224660043"/>
      <w:bookmarkEnd w:id="61"/>
      <w:bookmarkStart w:id="62" w:name="_Toc30738"/>
      <w:bookmarkStart w:id="63" w:name="_Toc216786890"/>
      <w:r>
        <w:rPr>
          <w:rFonts w:hint="eastAsia" w:ascii="Times New Roman" w:cs="Times New Roman"/>
          <w:szCs w:val="22"/>
        </w:rPr>
        <w:t>目标愿景</w:t>
      </w:r>
      <w:bookmarkEnd w:id="52"/>
      <w:bookmarkEnd w:id="53"/>
      <w:bookmarkEnd w:id="62"/>
      <w:bookmarkEnd w:id="63"/>
    </w:p>
    <w:p>
      <w:pPr>
        <w:widowControl/>
        <w:ind w:firstLine="641" w:firstLineChars="0"/>
        <w:rPr>
          <w:rFonts w:ascii="仿宋_GB2312" w:cs="Times New Roman"/>
          <w:bCs/>
          <w:color w:val="000000"/>
          <w:szCs w:val="32"/>
        </w:rPr>
      </w:pPr>
      <w:r>
        <w:rPr>
          <w:rFonts w:hint="eastAsia" w:ascii="仿宋_GB2312" w:cs="Times New Roman"/>
          <w:szCs w:val="32"/>
        </w:rPr>
        <w:t>到</w:t>
      </w:r>
      <w:r>
        <w:rPr>
          <w:rFonts w:hint="eastAsia" w:ascii="仿宋_GB2312" w:hAnsi="仿宋" w:cs="Songti SC"/>
          <w:bCs/>
        </w:rPr>
        <w:t>2030</w:t>
      </w:r>
      <w:r>
        <w:rPr>
          <w:rFonts w:hint="eastAsia" w:ascii="仿宋_GB2312" w:cs="Times New Roman"/>
          <w:szCs w:val="32"/>
        </w:rPr>
        <w:t>年，基本建成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 w:hAnsi="仿宋" w:cs="Songti SC"/>
          <w:bCs/>
        </w:rPr>
        <w:t>3+3+3+1”基础设施格局的</w:t>
      </w:r>
      <w:r>
        <w:rPr>
          <w:rFonts w:ascii="仿宋_GB2312" w:hAnsi="仿宋" w:cs="Songti SC"/>
          <w:bCs/>
        </w:rPr>
        <w:t>国际航空枢纽</w:t>
      </w:r>
      <w:r>
        <w:rPr>
          <w:rStyle w:val="24"/>
          <w:rFonts w:ascii="仿宋_GB2312" w:hAnsi="仿宋" w:cs="Songti SC"/>
          <w:bCs/>
        </w:rPr>
        <w:footnoteReference w:id="0"/>
      </w:r>
      <w:r>
        <w:rPr>
          <w:rFonts w:hint="eastAsia" w:ascii="仿宋_GB2312" w:hAnsi="仿宋" w:cs="Songti SC"/>
          <w:bCs/>
        </w:rPr>
        <w:t>、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hAnsi="仿宋" w:cs="Songti SC"/>
          <w:bCs/>
        </w:rPr>
        <w:t>一体三翼</w:t>
      </w:r>
      <w:r>
        <w:rPr>
          <w:rFonts w:hint="eastAsia" w:ascii="仿宋_GB2312" w:hAnsi="仿宋" w:cs="Songti SC"/>
          <w:bCs/>
        </w:rPr>
        <w:t>、七区协同</w:t>
      </w:r>
      <w:r>
        <w:rPr>
          <w:rFonts w:ascii="仿宋_GB2312" w:hAnsi="仿宋" w:cs="Songti SC"/>
          <w:bCs/>
        </w:rPr>
        <w:t>”</w:t>
      </w:r>
      <w:r>
        <w:rPr>
          <w:rFonts w:hint="eastAsia" w:ascii="仿宋_GB2312" w:hAnsi="仿宋" w:cs="Songti SC"/>
          <w:bCs/>
        </w:rPr>
        <w:t>的</w:t>
      </w:r>
      <w:r>
        <w:rPr>
          <w:rFonts w:hint="eastAsia" w:ascii="仿宋_GB2312" w:hAnsi="仿宋_GB2312" w:cs="仿宋_GB2312"/>
          <w:bCs/>
          <w:szCs w:val="32"/>
        </w:rPr>
        <w:t>国际枢纽海港</w:t>
      </w:r>
      <w:r>
        <w:rPr>
          <w:rStyle w:val="24"/>
          <w:rFonts w:hint="eastAsia" w:ascii="仿宋_GB2312" w:hAnsi="仿宋" w:cs="Songti SC"/>
          <w:bCs/>
        </w:rPr>
        <w:footnoteReference w:id="1"/>
      </w:r>
      <w:r>
        <w:rPr>
          <w:rFonts w:hint="eastAsia" w:ascii="仿宋_GB2312" w:cs="仿宋_GB2312"/>
          <w:bCs/>
          <w:szCs w:val="32"/>
        </w:rPr>
        <w:t>、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hAnsi="仿宋" w:cs="Songti SC"/>
          <w:bCs/>
        </w:rPr>
        <w:t>五主五辅”</w:t>
      </w:r>
      <w:r>
        <w:rPr>
          <w:rFonts w:hint="eastAsia" w:ascii="仿宋_GB2312" w:hAnsi="仿宋" w:cs="Songti SC"/>
          <w:bCs/>
        </w:rPr>
        <w:t>的</w:t>
      </w:r>
      <w:r>
        <w:rPr>
          <w:rFonts w:ascii="仿宋_GB2312" w:hAnsi="仿宋" w:cs="Songti SC"/>
          <w:bCs/>
        </w:rPr>
        <w:t>铁路枢纽</w:t>
      </w:r>
      <w:r>
        <w:rPr>
          <w:rStyle w:val="24"/>
          <w:rFonts w:hint="eastAsia" w:ascii="仿宋_GB2312" w:hAnsi="仿宋" w:cs="Songti SC"/>
          <w:bCs/>
        </w:rPr>
        <w:footnoteReference w:id="2"/>
      </w:r>
      <w:r>
        <w:rPr>
          <w:rFonts w:hint="eastAsia" w:ascii="仿宋_GB2312" w:hAnsi="仿宋" w:cs="Songti SC"/>
          <w:bCs/>
        </w:rPr>
        <w:t>，加快构建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hAnsi="仿宋" w:cs="Songti SC"/>
          <w:bCs/>
        </w:rPr>
        <w:t>三个1000公里”骨干交通网</w:t>
      </w:r>
      <w:r>
        <w:rPr>
          <w:rStyle w:val="24"/>
          <w:rFonts w:hint="eastAsia" w:ascii="仿宋_GB2312" w:hAnsi="仿宋" w:cs="Songti SC"/>
          <w:bCs/>
        </w:rPr>
        <w:footnoteReference w:id="3"/>
      </w:r>
      <w:r>
        <w:rPr>
          <w:rFonts w:hint="eastAsia" w:ascii="仿宋_GB2312" w:hAnsi="仿宋" w:cs="Songti SC"/>
          <w:bCs/>
        </w:rPr>
        <w:t>，形成协同发展的综合立体交通网络，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hAnsi="仿宋" w:cs="Songti SC"/>
          <w:bCs/>
        </w:rPr>
        <w:t>12312”对外出行交通圈</w:t>
      </w:r>
      <w:r>
        <w:rPr>
          <w:rStyle w:val="24"/>
          <w:rFonts w:ascii="仿宋_GB2312" w:hAnsi="仿宋" w:cs="Songti SC"/>
          <w:bCs/>
        </w:rPr>
        <w:footnoteReference w:id="4"/>
      </w:r>
      <w:r>
        <w:rPr>
          <w:rFonts w:hint="eastAsia" w:ascii="仿宋_GB2312" w:hAnsi="楷体_GB2312" w:cs="楷体_GB2312"/>
          <w:bCs/>
        </w:rPr>
        <w:t>、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hAnsi="仿宋" w:cs="Songti SC"/>
          <w:bCs/>
        </w:rPr>
        <w:t>123”快货物流圈</w:t>
      </w:r>
      <w:r>
        <w:rPr>
          <w:rStyle w:val="24"/>
          <w:rFonts w:ascii="仿宋_GB2312" w:hAnsi="仿宋" w:cs="Songti SC"/>
          <w:bCs/>
        </w:rPr>
        <w:footnoteReference w:id="5"/>
      </w:r>
      <w:r>
        <w:rPr>
          <w:rFonts w:hint="eastAsia" w:ascii="仿宋_GB2312" w:hAnsi="仿宋" w:cs="Songti SC"/>
          <w:bCs/>
        </w:rPr>
        <w:t>、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hAnsi="仿宋" w:cs="Songti SC"/>
          <w:bCs/>
        </w:rPr>
        <w:t>10</w:t>
      </w:r>
      <w:r>
        <w:rPr>
          <w:rFonts w:hint="eastAsia" w:ascii="仿宋_GB2312" w:hAnsi="仿宋" w:cs="Songti SC"/>
          <w:bCs/>
        </w:rPr>
        <w:t>-</w:t>
      </w:r>
      <w:r>
        <w:rPr>
          <w:rFonts w:ascii="仿宋_GB2312" w:hAnsi="仿宋" w:cs="Songti SC"/>
          <w:bCs/>
        </w:rPr>
        <w:t>30</w:t>
      </w:r>
      <w:r>
        <w:rPr>
          <w:rFonts w:hint="eastAsia" w:ascii="仿宋_GB2312" w:hAnsi="仿宋" w:cs="Songti SC"/>
          <w:bCs/>
        </w:rPr>
        <w:t>-</w:t>
      </w:r>
      <w:r>
        <w:rPr>
          <w:rFonts w:ascii="仿宋_GB2312" w:hAnsi="仿宋" w:cs="Songti SC"/>
          <w:bCs/>
        </w:rPr>
        <w:t>60”</w:t>
      </w:r>
      <w:r>
        <w:rPr>
          <w:rFonts w:hint="eastAsia" w:ascii="仿宋_GB2312" w:hAnsi="仿宋" w:cs="Songti SC"/>
          <w:bCs/>
        </w:rPr>
        <w:t>市内</w:t>
      </w:r>
      <w:r>
        <w:rPr>
          <w:rFonts w:ascii="仿宋_GB2312" w:hAnsi="仿宋" w:cs="Songti SC"/>
          <w:bCs/>
        </w:rPr>
        <w:t>快速交通</w:t>
      </w:r>
      <w:r>
        <w:rPr>
          <w:rFonts w:hint="eastAsia" w:ascii="仿宋_GB2312" w:hAnsi="仿宋" w:cs="Songti SC"/>
          <w:bCs/>
        </w:rPr>
        <w:t>圈</w:t>
      </w:r>
      <w:r>
        <w:rPr>
          <w:rStyle w:val="24"/>
          <w:rFonts w:hint="eastAsia" w:ascii="仿宋_GB2312" w:hAnsi="仿宋" w:cs="Songti SC"/>
          <w:bCs/>
        </w:rPr>
        <w:footnoteReference w:id="6"/>
      </w:r>
      <w:r>
        <w:rPr>
          <w:rFonts w:hint="eastAsia" w:ascii="仿宋_GB2312" w:hAnsi="仿宋" w:cs="Songti SC"/>
          <w:bCs/>
        </w:rPr>
        <w:t>服务体系更加完善，</w:t>
      </w:r>
      <w:r>
        <w:rPr>
          <w:rFonts w:ascii="仿宋_GB2312" w:hAnsi="仿宋" w:cs="Songti SC"/>
          <w:bCs/>
        </w:rPr>
        <w:t>基</w:t>
      </w:r>
      <w:r>
        <w:rPr>
          <w:rFonts w:hint="eastAsia" w:ascii="仿宋_GB2312" w:hAnsi="仿宋" w:cs="Songti SC"/>
          <w:bCs/>
        </w:rPr>
        <w:t>本建成</w:t>
      </w:r>
      <w:r>
        <w:rPr>
          <w:rFonts w:ascii="仿宋_GB2312" w:hAnsi="仿宋" w:cs="Songti SC"/>
          <w:bCs/>
        </w:rPr>
        <w:t>国际性综合交通枢纽城市</w:t>
      </w:r>
      <w:r>
        <w:rPr>
          <w:rFonts w:hint="eastAsia" w:ascii="仿宋_GB2312" w:hAnsi="仿宋" w:cs="Songti SC"/>
          <w:bCs/>
        </w:rPr>
        <w:t>和具有全球重要影响力的物流中心</w:t>
      </w:r>
      <w:r>
        <w:rPr>
          <w:rFonts w:ascii="仿宋_GB2312" w:hAnsi="仿宋" w:cs="Songti SC"/>
          <w:bCs/>
        </w:rPr>
        <w:t>，</w:t>
      </w:r>
      <w:r>
        <w:rPr>
          <w:rFonts w:hint="eastAsia" w:ascii="仿宋_GB2312" w:hAnsi="仿宋" w:cs="Songti SC"/>
          <w:bCs/>
        </w:rPr>
        <w:t>基本建成现代化交通运输服务体系，</w:t>
      </w:r>
      <w:r>
        <w:rPr>
          <w:rFonts w:ascii="仿宋_GB2312" w:cs="Times New Roman"/>
          <w:bCs/>
          <w:color w:val="000000"/>
          <w:szCs w:val="32"/>
        </w:rPr>
        <w:t>为深圳建设具有全球影响力的现代化国际大都市、经济中心城市提供高质量交通支撑。</w:t>
      </w:r>
    </w:p>
    <w:p>
      <w:pPr>
        <w:adjustRightInd w:val="0"/>
        <w:snapToGrid w:val="0"/>
        <w:ind w:firstLine="640" w:firstLineChars="0"/>
        <w:rPr>
          <w:rFonts w:ascii="仿宋_GB2312"/>
          <w:color w:val="000000"/>
        </w:rPr>
      </w:pPr>
      <w:bookmarkStart w:id="64" w:name="_Hlk129771985"/>
      <w:r>
        <w:rPr>
          <w:rFonts w:hint="eastAsia" w:ascii="仿宋_GB2312"/>
          <w:color w:val="000000"/>
          <w:szCs w:val="32"/>
        </w:rPr>
        <w:t>在此基础上再奋斗五年，到</w:t>
      </w:r>
      <w:r>
        <w:rPr>
          <w:rFonts w:hint="eastAsia" w:ascii="仿宋_GB2312" w:hAnsi="仿宋" w:cs="Songti SC"/>
          <w:bCs/>
        </w:rPr>
        <w:t>2035</w:t>
      </w:r>
      <w:r>
        <w:rPr>
          <w:rFonts w:hint="eastAsia" w:ascii="仿宋_GB2312"/>
          <w:color w:val="000000"/>
          <w:szCs w:val="32"/>
        </w:rPr>
        <w:t>年，高水平建成便捷顺畅、经济高效、绿色集约、智能先进、安全可靠的现代化综合立体交通网，全面形成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/>
          <w:color w:val="000000"/>
          <w:szCs w:val="32"/>
        </w:rPr>
        <w:t>12312”对外出行交通圈、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/>
          <w:color w:val="000000"/>
          <w:szCs w:val="32"/>
        </w:rPr>
        <w:t>123”快货物流圈和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hAnsi="仿宋" w:cs="Songti SC"/>
          <w:bCs/>
        </w:rPr>
        <w:t>10-30-60</w:t>
      </w:r>
      <w:r>
        <w:rPr>
          <w:rFonts w:hint="eastAsia" w:ascii="仿宋_GB2312"/>
          <w:color w:val="000000"/>
          <w:szCs w:val="32"/>
        </w:rPr>
        <w:t>”</w:t>
      </w:r>
      <w:r>
        <w:rPr>
          <w:rFonts w:hint="eastAsia" w:ascii="仿宋_GB2312" w:hAnsi="仿宋" w:cs="Songti SC"/>
          <w:bCs/>
        </w:rPr>
        <w:t>市内</w:t>
      </w:r>
      <w:r>
        <w:rPr>
          <w:rFonts w:ascii="仿宋_GB2312" w:hAnsi="仿宋"/>
        </w:rPr>
        <w:t>快速交通</w:t>
      </w:r>
      <w:r>
        <w:rPr>
          <w:rFonts w:hint="eastAsia" w:ascii="仿宋_GB2312" w:hAnsi="仿宋" w:cs="Songti SC"/>
          <w:bCs/>
        </w:rPr>
        <w:t>圈</w:t>
      </w:r>
      <w:r>
        <w:rPr>
          <w:rFonts w:hint="eastAsia" w:ascii="仿宋_GB2312"/>
          <w:color w:val="000000"/>
          <w:szCs w:val="32"/>
        </w:rPr>
        <w:t>，综合交通发展水平进入全球先进行列，率先实现交通运输现代化。</w:t>
      </w:r>
      <w:bookmarkEnd w:id="64"/>
    </w:p>
    <w:p>
      <w:pPr>
        <w:adjustRightInd w:val="0"/>
        <w:snapToGrid w:val="0"/>
        <w:ind w:firstLine="640" w:firstLineChars="0"/>
        <w:jc w:val="center"/>
        <w:rPr>
          <w:rFonts w:ascii="楷体_GB2312" w:eastAsia="楷体_GB2312" w:cs="Times New Roman"/>
          <w:b/>
          <w:bCs/>
          <w:sz w:val="28"/>
          <w:szCs w:val="28"/>
        </w:rPr>
      </w:pPr>
      <w:bookmarkStart w:id="65" w:name="_Toc22413"/>
      <w:bookmarkStart w:id="66" w:name="_Toc216786891"/>
      <w:bookmarkStart w:id="67" w:name="_Toc226556355"/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“十五五”交通运输发展指标</w:t>
      </w:r>
      <w:bookmarkEnd w:id="65"/>
      <w:bookmarkEnd w:id="66"/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体系</w:t>
      </w:r>
      <w:bookmarkEnd w:id="67"/>
    </w:p>
    <w:tbl>
      <w:tblPr>
        <w:tblStyle w:val="18"/>
        <w:tblW w:w="53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489"/>
        <w:gridCol w:w="2637"/>
        <w:gridCol w:w="1145"/>
        <w:gridCol w:w="857"/>
        <w:gridCol w:w="846"/>
        <w:gridCol w:w="76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Header/>
          <w:jc w:val="center"/>
        </w:trPr>
        <w:tc>
          <w:tcPr>
            <w:tcW w:w="27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/>
                <w:color w:val="1F1F1F"/>
                <w:kern w:val="0"/>
                <w:sz w:val="24"/>
              </w:rPr>
            </w:pPr>
            <w:r>
              <w:rPr>
                <w:rFonts w:hint="eastAsia" w:ascii="黑体" w:hAnsi="黑体"/>
                <w:color w:val="1F1F1F"/>
                <w:kern w:val="0"/>
                <w:sz w:val="24"/>
              </w:rPr>
              <w:t>目标</w:t>
            </w: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/>
                <w:color w:val="1F1F1F"/>
                <w:kern w:val="0"/>
                <w:sz w:val="24"/>
              </w:rPr>
            </w:pPr>
            <w:r>
              <w:rPr>
                <w:rFonts w:hint="eastAsia" w:ascii="黑体" w:hAnsi="黑体"/>
                <w:color w:val="1F1F1F"/>
                <w:kern w:val="0"/>
                <w:sz w:val="24"/>
              </w:rPr>
              <w:t>序号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/>
                <w:color w:val="1F1F1F"/>
                <w:kern w:val="0"/>
                <w:sz w:val="24"/>
              </w:rPr>
            </w:pPr>
            <w:r>
              <w:rPr>
                <w:rFonts w:hint="eastAsia" w:ascii="黑体" w:hAnsi="黑体"/>
                <w:color w:val="1F1F1F"/>
                <w:kern w:val="0"/>
                <w:sz w:val="24"/>
              </w:rPr>
              <w:t>指标名称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/>
                <w:color w:val="1F1F1F"/>
                <w:kern w:val="0"/>
                <w:sz w:val="24"/>
              </w:rPr>
            </w:pPr>
            <w:r>
              <w:rPr>
                <w:rFonts w:hint="eastAsia" w:ascii="黑体" w:hAnsi="黑体"/>
                <w:color w:val="1F1F1F"/>
                <w:kern w:val="0"/>
                <w:sz w:val="24"/>
              </w:rPr>
              <w:t>单位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/>
                <w:color w:val="1F1F1F"/>
                <w:kern w:val="0"/>
                <w:sz w:val="24"/>
              </w:rPr>
            </w:pPr>
            <w:r>
              <w:rPr>
                <w:rFonts w:hint="eastAsia" w:ascii="黑体" w:hAnsi="黑体"/>
                <w:color w:val="1F1F1F"/>
                <w:kern w:val="0"/>
                <w:sz w:val="24"/>
              </w:rPr>
              <w:t>属性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/>
                <w:color w:val="1F1F1F"/>
                <w:kern w:val="0"/>
                <w:sz w:val="24"/>
              </w:rPr>
            </w:pPr>
            <w:r>
              <w:rPr>
                <w:rFonts w:hint="eastAsia" w:ascii="黑体" w:hAnsi="黑体"/>
                <w:color w:val="1F1F1F"/>
                <w:kern w:val="0"/>
                <w:sz w:val="24"/>
              </w:rPr>
              <w:t>2025年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/>
                <w:color w:val="1F1F1F"/>
                <w:kern w:val="0"/>
                <w:sz w:val="24"/>
              </w:rPr>
            </w:pPr>
            <w:r>
              <w:rPr>
                <w:rFonts w:hint="eastAsia" w:ascii="黑体" w:hAnsi="黑体"/>
                <w:color w:val="1F1F1F"/>
                <w:kern w:val="0"/>
                <w:sz w:val="24"/>
              </w:rPr>
              <w:t>2030年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/>
                <w:color w:val="1F1F1F"/>
                <w:kern w:val="0"/>
                <w:sz w:val="24"/>
              </w:rPr>
            </w:pPr>
            <w:r>
              <w:rPr>
                <w:rFonts w:hint="eastAsia" w:ascii="黑体" w:hAnsi="黑体"/>
                <w:color w:val="1F1F1F"/>
                <w:kern w:val="0"/>
                <w:sz w:val="24"/>
              </w:rPr>
              <w:t>年均/累计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73" w:type="pct"/>
            <w:vMerge w:val="restar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  <w:t>便捷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  <w:t>顺畅</w:t>
            </w: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铁路通车里程（含城际）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公里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261.9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570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16.8%/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117.6%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2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城市轨道通车里程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公里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63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4.5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45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5.9%/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33.1%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3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都市圈跨市轨道数量（含铁路、城际、地铁）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条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5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8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4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都市圈跨市道路数量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条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35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50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5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45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分钟以内通勤比重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%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81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2.5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6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地铁出入口结建率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%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约束性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4.7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12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273" w:type="pct"/>
            <w:vMerge w:val="restar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  <w:t>经济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  <w:t>高效</w:t>
            </w: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7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机场旅客吞吐量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万人次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  <w:highlight w:val="red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6648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8000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3.8%/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20.3%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8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机场货邮吞吐量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万吨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  <w:highlight w:val="red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205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285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6.8%/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39.0%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9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港口集装箱吞吐量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万标箱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  <w:highlight w:val="red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3541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3800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1.4%/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7.3%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10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bidi="ar"/>
              </w:rPr>
              <w:t>港口旅客吞吐量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bidi="ar"/>
              </w:rPr>
              <w:t>万人次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  <w:t>435.7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  <w:t>800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12.9%/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83.6%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11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全社会物流总费用占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GDP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比重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%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10.5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9.5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73" w:type="pct"/>
            <w:vMerge w:val="restar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  <w:t>绿色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  <w:t>集约</w:t>
            </w: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2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公共交通日均客运量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万人次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/日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  <w:highlight w:val="red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13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09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00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2.8%/14.6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73" w:type="pct"/>
            <w:vMerge w:val="continue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3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海铁联运量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万标箱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30.5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60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14.5%/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96.7%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4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保税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LNG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加注量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万立方米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51.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4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150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23.9%/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191.8%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5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高标仓面积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万平方米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  <w:highlight w:val="red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379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55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0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7.7%/45.1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273" w:type="pct"/>
            <w:vMerge w:val="restar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  <w:t>智能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  <w:t>先进</w:t>
            </w: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6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无人机载货飞行规模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万架次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100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00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14.9%/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7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智能网联运营车辆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辆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800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10000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40.9%/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455.6%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73" w:type="pct"/>
            <w:vMerge w:val="restar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  <w:t>安全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b/>
                <w:bCs/>
                <w:color w:val="1F1F1F"/>
                <w:kern w:val="0"/>
                <w:sz w:val="24"/>
                <w:szCs w:val="24"/>
              </w:rPr>
              <w:t>可靠</w:t>
            </w: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8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道路交通死亡率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万车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约束性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0.35</w:t>
            </w:r>
            <w:r>
              <w:rPr>
                <w:rFonts w:hint="eastAsia" w:ascii="仿宋_GB2312" w:hAnsi="等线" w:cs="宋体"/>
                <w:color w:val="1F1F1F"/>
                <w:kern w:val="0"/>
                <w:sz w:val="15"/>
                <w:szCs w:val="15"/>
              </w:rPr>
              <w:t>（</w:t>
            </w:r>
            <w:r>
              <w:rPr>
                <w:rFonts w:ascii="仿宋_GB2312" w:hAnsi="等线" w:cs="宋体"/>
                <w:color w:val="1F1F1F"/>
                <w:kern w:val="0"/>
                <w:sz w:val="15"/>
                <w:szCs w:val="15"/>
              </w:rPr>
              <w:t>2024年）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≤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0.33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  <w:jc w:val="center"/>
        </w:trPr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19</w:t>
            </w:r>
          </w:p>
        </w:tc>
        <w:tc>
          <w:tcPr>
            <w:tcW w:w="1483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重要桥隧边坡智慧监测应用数量</w:t>
            </w:r>
          </w:p>
        </w:tc>
        <w:tc>
          <w:tcPr>
            <w:tcW w:w="644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个</w:t>
            </w:r>
          </w:p>
        </w:tc>
        <w:tc>
          <w:tcPr>
            <w:tcW w:w="48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预期性</w:t>
            </w:r>
          </w:p>
        </w:tc>
        <w:tc>
          <w:tcPr>
            <w:tcW w:w="476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82</w:t>
            </w:r>
          </w:p>
        </w:tc>
        <w:tc>
          <w:tcPr>
            <w:tcW w:w="428" w:type="pc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150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1F1F1F"/>
                <w:kern w:val="0"/>
                <w:sz w:val="24"/>
                <w:szCs w:val="24"/>
              </w:rPr>
              <w:t>12.8%/</w:t>
            </w:r>
            <w:r>
              <w:rPr>
                <w:rFonts w:ascii="仿宋_GB2312" w:hAnsi="等线" w:cs="宋体"/>
                <w:color w:val="1F1F1F"/>
                <w:kern w:val="0"/>
                <w:sz w:val="24"/>
                <w:szCs w:val="24"/>
              </w:rPr>
              <w:t>82.9%</w:t>
            </w:r>
          </w:p>
        </w:tc>
      </w:tr>
    </w:tbl>
    <w:p>
      <w:pPr>
        <w:pStyle w:val="3"/>
        <w:numPr>
          <w:ilvl w:val="0"/>
          <w:numId w:val="0"/>
        </w:numPr>
        <w:rPr>
          <w:rFonts w:cs="Times New Roman"/>
          <w:b w:val="0"/>
          <w:bCs w:val="0"/>
        </w:rPr>
        <w:sectPr>
          <w:footnotePr>
            <w:numRestart w:val="eachPage"/>
          </w:footnotePr>
          <w:pgSz w:w="11906" w:h="16838"/>
          <w:pgMar w:top="1440" w:right="1800" w:bottom="1440" w:left="1800" w:header="794" w:footer="992" w:gutter="0"/>
          <w:cols w:space="425" w:num="1"/>
          <w:docGrid w:type="lines" w:linePitch="435" w:charSpace="0"/>
        </w:sectPr>
      </w:pPr>
      <w:bookmarkStart w:id="68" w:name="_Toc223982522"/>
      <w:bookmarkStart w:id="69" w:name="_Toc226556356"/>
    </w:p>
    <w:p>
      <w:pPr>
        <w:pStyle w:val="3"/>
        <w:numPr>
          <w:ilvl w:val="0"/>
          <w:numId w:val="0"/>
        </w:numPr>
        <w:rPr>
          <w:rFonts w:cs="Times New Roman"/>
          <w:b w:val="0"/>
          <w:bCs w:val="0"/>
        </w:rPr>
      </w:pPr>
      <w:bookmarkStart w:id="70" w:name="_Toc228352981"/>
      <w:r>
        <w:rPr>
          <w:rFonts w:cs="Times New Roman"/>
          <w:b w:val="0"/>
          <w:bCs w:val="0"/>
        </w:rPr>
        <w:t>第三章 强化畅达高效的</w:t>
      </w:r>
      <w:r>
        <w:rPr>
          <w:rFonts w:hint="eastAsia" w:cs="Times New Roman"/>
          <w:b w:val="0"/>
          <w:bCs w:val="0"/>
        </w:rPr>
        <w:t>对外综合交通</w:t>
      </w:r>
      <w:r>
        <w:rPr>
          <w:rFonts w:cs="Times New Roman"/>
          <w:b w:val="0"/>
          <w:bCs w:val="0"/>
        </w:rPr>
        <w:t>网络</w:t>
      </w:r>
      <w:bookmarkEnd w:id="68"/>
      <w:bookmarkEnd w:id="69"/>
      <w:bookmarkEnd w:id="70"/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71" w:name="_Toc223982523"/>
      <w:bookmarkStart w:id="72" w:name="_Toc228352982"/>
      <w:bookmarkStart w:id="73" w:name="_Toc226556357"/>
      <w:r>
        <w:rPr>
          <w:rFonts w:ascii="Times New Roman" w:cs="Times New Roman"/>
          <w:szCs w:val="22"/>
        </w:rPr>
        <w:t>第一节 提升海空铁枢纽与物流设施能级</w:t>
      </w:r>
      <w:bookmarkEnd w:id="71"/>
      <w:bookmarkEnd w:id="72"/>
      <w:bookmarkEnd w:id="73"/>
    </w:p>
    <w:p>
      <w:pPr>
        <w:ind w:firstLine="640"/>
        <w:rPr>
          <w:rFonts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cs="Times New Roman"/>
          <w:szCs w:val="32"/>
        </w:rPr>
        <w:t>打造具有国际影响力和竞争力的区位门户复合型国际航空枢纽</w:t>
      </w:r>
      <w:r>
        <w:rPr>
          <w:rFonts w:hint="eastAsia" w:ascii="仿宋_GB2312" w:cs="Times New Roman"/>
          <w:szCs w:val="32"/>
        </w:rPr>
        <w:t>，</w:t>
      </w:r>
      <w:r>
        <w:rPr>
          <w:rFonts w:ascii="仿宋_GB2312" w:cs="Times New Roman"/>
          <w:szCs w:val="32"/>
        </w:rPr>
        <w:t>新建成2个航站楼、1个货运区</w:t>
      </w:r>
      <w:r>
        <w:rPr>
          <w:rFonts w:hint="eastAsia" w:ascii="仿宋_GB2312" w:hAnsi="仿宋" w:cs="Songti SC"/>
        </w:rPr>
        <w:t>，</w:t>
      </w:r>
      <w:r>
        <w:rPr>
          <w:rFonts w:ascii="仿宋_GB2312" w:cs="Times New Roman"/>
          <w:szCs w:val="32"/>
        </w:rPr>
        <w:t>补齐国际保障能力短板。</w:t>
      </w:r>
      <w:r>
        <w:rPr>
          <w:rFonts w:hint="eastAsia" w:ascii="仿宋_GB2312" w:cs="Times New Roman"/>
          <w:szCs w:val="32"/>
        </w:rPr>
        <w:t>巩固世界一流集装箱枢纽港地位，完善</w:t>
      </w:r>
      <w:r>
        <w:rPr>
          <w:rFonts w:hint="eastAsia" w:ascii="仿宋_GB2312"/>
        </w:rPr>
        <w:t>“</w:t>
      </w:r>
      <w:r>
        <w:rPr>
          <w:rFonts w:hint="eastAsia" w:ascii="仿宋_GB2312" w:cs="Times New Roman"/>
          <w:szCs w:val="32"/>
        </w:rPr>
        <w:t>一体三翼、七区协同”国际枢纽海港</w:t>
      </w:r>
      <w:r>
        <w:rPr>
          <w:rFonts w:ascii="仿宋_GB2312" w:cs="Times New Roman"/>
          <w:szCs w:val="32"/>
        </w:rPr>
        <w:t>发展格</w:t>
      </w:r>
      <w:r>
        <w:rPr>
          <w:rFonts w:hint="eastAsia" w:ascii="仿宋_GB2312" w:cs="Times New Roman"/>
          <w:szCs w:val="32"/>
        </w:rPr>
        <w:t>局</w:t>
      </w:r>
      <w:r>
        <w:rPr>
          <w:rFonts w:ascii="仿宋_GB2312" w:cs="Times New Roman"/>
          <w:szCs w:val="32"/>
        </w:rPr>
        <w:t>。</w:t>
      </w:r>
      <w:r>
        <w:rPr>
          <w:rFonts w:hint="eastAsia" w:ascii="仿宋_GB2312" w:cs="Times New Roman"/>
        </w:rPr>
        <w:t>构建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 w:cs="Times New Roman"/>
        </w:rPr>
        <w:t>五主五辅”</w:t>
      </w:r>
      <w:r>
        <w:rPr>
          <w:rFonts w:ascii="仿宋_GB2312" w:cs="Times New Roman"/>
        </w:rPr>
        <w:t>铁路枢纽体系</w:t>
      </w:r>
      <w:r>
        <w:rPr>
          <w:rFonts w:hint="eastAsia" w:ascii="仿宋_GB2312" w:cs="Times New Roman"/>
        </w:rPr>
        <w:t>，</w:t>
      </w:r>
      <w:r>
        <w:rPr>
          <w:rFonts w:hint="eastAsia" w:ascii="仿宋_GB2312" w:cs="Times New Roman"/>
          <w:szCs w:val="32"/>
        </w:rPr>
        <w:t>拓展高速通达国家铁路通道，</w:t>
      </w:r>
      <w:r>
        <w:rPr>
          <w:rFonts w:ascii="仿宋_GB2312" w:cs="Times New Roman"/>
          <w:szCs w:val="32"/>
        </w:rPr>
        <w:t>谋划西向跨江公铁复合新通道</w:t>
      </w:r>
      <w:r>
        <w:rPr>
          <w:rFonts w:hint="eastAsia" w:ascii="仿宋_GB2312" w:cs="Times New Roman"/>
          <w:szCs w:val="32"/>
        </w:rPr>
        <w:t>，</w:t>
      </w:r>
      <w:r>
        <w:rPr>
          <w:rFonts w:ascii="仿宋_GB2312" w:cs="Times New Roman"/>
          <w:szCs w:val="32"/>
        </w:rPr>
        <w:t>全面融入国家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cs="Times New Roman"/>
          <w:szCs w:val="32"/>
        </w:rPr>
        <w:t>八纵八横</w:t>
      </w:r>
      <w:r>
        <w:rPr>
          <w:rFonts w:hint="eastAsia" w:ascii="仿宋_GB2312" w:cs="Times New Roman"/>
          <w:szCs w:val="32"/>
        </w:rPr>
        <w:t>”</w:t>
      </w:r>
      <w:r>
        <w:rPr>
          <w:rFonts w:ascii="仿宋_GB2312" w:cs="Times New Roman"/>
          <w:szCs w:val="32"/>
        </w:rPr>
        <w:t>高速铁路网</w:t>
      </w:r>
      <w:r>
        <w:rPr>
          <w:rFonts w:hint="eastAsia" w:ascii="仿宋_GB2312" w:cs="Times New Roman"/>
          <w:szCs w:val="32"/>
        </w:rPr>
        <w:t>，</w:t>
      </w:r>
      <w:r>
        <w:rPr>
          <w:rFonts w:ascii="仿宋_GB2312" w:cs="Times New Roman"/>
        </w:rPr>
        <w:t>建成西丽</w:t>
      </w:r>
      <w:r>
        <w:rPr>
          <w:rFonts w:hint="eastAsia" w:ascii="仿宋_GB2312" w:cs="Times New Roman"/>
        </w:rPr>
        <w:t>、机场东等综合</w:t>
      </w:r>
      <w:r>
        <w:rPr>
          <w:rFonts w:ascii="仿宋_GB2312" w:cs="Times New Roman"/>
        </w:rPr>
        <w:t>枢纽，推动站城一体化开发</w:t>
      </w:r>
      <w:r>
        <w:rPr>
          <w:rFonts w:hint="eastAsia" w:ascii="仿宋_GB2312" w:cs="Times New Roman"/>
        </w:rPr>
        <w:t>及</w:t>
      </w:r>
      <w:r>
        <w:rPr>
          <w:rFonts w:ascii="仿宋_GB2312" w:cs="Times New Roman"/>
        </w:rPr>
        <w:t>既有枢纽数智化升级改造</w:t>
      </w:r>
      <w:r>
        <w:rPr>
          <w:rFonts w:hint="eastAsia" w:ascii="仿宋_GB2312" w:cs="Times New Roman"/>
        </w:rPr>
        <w:t>。打造畅达高效的城际轨道网络，推动城际铁路延伸至广州、东莞、惠州、中山等周边城市，</w:t>
      </w:r>
      <w:r>
        <w:rPr>
          <w:rFonts w:ascii="仿宋_GB2312" w:cs="Times New Roman"/>
        </w:rPr>
        <w:t>实现大湾区城市中心</w:t>
      </w:r>
      <w:r>
        <w:rPr>
          <w:rFonts w:ascii="仿宋_GB2312" w:hAnsi="仿宋" w:cs="Songti SC"/>
          <w:bCs/>
        </w:rPr>
        <w:t>1</w:t>
      </w:r>
      <w:r>
        <w:rPr>
          <w:rFonts w:ascii="仿宋_GB2312" w:cs="Times New Roman"/>
        </w:rPr>
        <w:t>小时直达</w:t>
      </w:r>
      <w:r>
        <w:rPr>
          <w:rFonts w:hint="eastAsia" w:ascii="仿宋_GB2312" w:cs="Times New Roman"/>
        </w:rPr>
        <w:t>，至京津冀、长三角、成渝城市群核心城市6小时可达</w:t>
      </w:r>
      <w:r>
        <w:rPr>
          <w:rFonts w:ascii="仿宋_GB2312" w:cs="Times New Roman"/>
        </w:rPr>
        <w:t>。</w:t>
      </w:r>
      <w:r>
        <w:rPr>
          <w:rFonts w:hint="eastAsia" w:ascii="仿宋_GB2312" w:cs="Times New Roman"/>
          <w:szCs w:val="32"/>
        </w:rPr>
        <w:t>建设国际物流枢纽，强化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 w:cs="Times New Roman"/>
          <w:szCs w:val="32"/>
        </w:rPr>
        <w:t>四型”国家物流枢纽功能，推动低效物流用地升级，加大市外物流仓储</w:t>
      </w:r>
      <w:r>
        <w:rPr>
          <w:rFonts w:ascii="仿宋_GB2312" w:cs="Times New Roman"/>
          <w:szCs w:val="32"/>
        </w:rPr>
        <w:t>设施布</w:t>
      </w:r>
      <w:r>
        <w:rPr>
          <w:rFonts w:hint="eastAsia" w:ascii="仿宋_GB2312" w:cs="Times New Roman"/>
          <w:szCs w:val="32"/>
        </w:rPr>
        <w:t>局</w:t>
      </w:r>
      <w:r>
        <w:rPr>
          <w:rFonts w:hint="eastAsia"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74" w:name="_Toc228352983"/>
      <w:r>
        <w:rPr>
          <w:rFonts w:ascii="Times New Roman" w:cs="Times New Roman"/>
          <w:szCs w:val="22"/>
        </w:rPr>
        <w:t>第</w:t>
      </w:r>
      <w:r>
        <w:rPr>
          <w:rFonts w:hint="eastAsia" w:ascii="Times New Roman" w:cs="Times New Roman"/>
          <w:szCs w:val="22"/>
        </w:rPr>
        <w:t>二</w:t>
      </w:r>
      <w:r>
        <w:rPr>
          <w:rFonts w:ascii="Times New Roman" w:cs="Times New Roman"/>
          <w:szCs w:val="22"/>
        </w:rPr>
        <w:t xml:space="preserve">节 </w:t>
      </w:r>
      <w:r>
        <w:rPr>
          <w:rFonts w:hint="eastAsia" w:ascii="Times New Roman" w:cs="Times New Roman"/>
          <w:szCs w:val="22"/>
        </w:rPr>
        <w:t>做优</w:t>
      </w:r>
      <w:r>
        <w:rPr>
          <w:rFonts w:ascii="Times New Roman" w:cs="Times New Roman"/>
          <w:szCs w:val="22"/>
        </w:rPr>
        <w:t>多元化客运航线与</w:t>
      </w:r>
      <w:r>
        <w:rPr>
          <w:rFonts w:hint="eastAsia" w:ascii="Times New Roman" w:cs="Times New Roman"/>
          <w:szCs w:val="22"/>
        </w:rPr>
        <w:t>专业</w:t>
      </w:r>
      <w:r>
        <w:rPr>
          <w:rFonts w:ascii="Times New Roman" w:cs="Times New Roman"/>
          <w:szCs w:val="22"/>
        </w:rPr>
        <w:t>服务</w:t>
      </w:r>
      <w:bookmarkEnd w:id="74"/>
    </w:p>
    <w:p>
      <w:pPr>
        <w:ind w:firstLine="640"/>
        <w:rPr>
          <w:rFonts w:ascii="仿宋_GB2312" w:cs="Times New Roman"/>
        </w:rPr>
      </w:pPr>
      <w:r>
        <w:rPr>
          <w:rFonts w:hint="eastAsia" w:ascii="仿宋_GB2312"/>
          <w:szCs w:val="32"/>
        </w:rPr>
        <w:t>构建畅达全球的国际航线网络</w:t>
      </w:r>
      <w:r>
        <w:rPr>
          <w:rFonts w:hint="eastAsia" w:ascii="仿宋_GB2312"/>
        </w:rPr>
        <w:t>，</w:t>
      </w:r>
      <w:r>
        <w:rPr>
          <w:rFonts w:hint="eastAsia" w:ascii="仿宋_GB2312"/>
          <w:color w:val="000000"/>
        </w:rPr>
        <w:t>拓展面向</w:t>
      </w:r>
      <w:r>
        <w:rPr>
          <w:rFonts w:ascii="仿宋_GB2312"/>
          <w:color w:val="000000"/>
        </w:rPr>
        <w:t>全球创新型城市及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/>
        </w:rPr>
        <w:t>一带一路</w:t>
      </w:r>
      <w:r>
        <w:rPr>
          <w:rFonts w:hint="eastAsia" w:ascii="仿宋_GB2312"/>
        </w:rPr>
        <w:t>”</w:t>
      </w:r>
      <w:r>
        <w:rPr>
          <w:rFonts w:ascii="仿宋_GB2312"/>
          <w:color w:val="000000"/>
        </w:rPr>
        <w:t>新兴市场国家节点城市的航线网络。</w:t>
      </w:r>
      <w:r>
        <w:rPr>
          <w:rFonts w:ascii="仿宋_GB2312" w:cs="Times New Roman"/>
        </w:rPr>
        <w:t>提升基地航空公司发展能级</w:t>
      </w:r>
      <w:r>
        <w:rPr>
          <w:rFonts w:hint="eastAsia" w:ascii="仿宋_GB2312" w:cs="Times New Roman"/>
        </w:rPr>
        <w:t>，</w:t>
      </w:r>
      <w:r>
        <w:rPr>
          <w:rFonts w:ascii="仿宋_GB2312" w:cs="Times New Roman"/>
        </w:rPr>
        <w:t>加快机队结构升级，积极引进远程宽体客机</w:t>
      </w:r>
      <w:r>
        <w:rPr>
          <w:rFonts w:hint="eastAsia" w:ascii="仿宋_GB2312" w:cs="Times New Roman"/>
        </w:rPr>
        <w:t>，</w:t>
      </w:r>
      <w:r>
        <w:rPr>
          <w:rFonts w:ascii="仿宋_GB2312" w:cs="Times New Roman"/>
        </w:rPr>
        <w:t>吸引国外优秀航空公司开设办事处或运营基地</w:t>
      </w:r>
      <w:r>
        <w:rPr>
          <w:rFonts w:hint="eastAsia" w:ascii="仿宋_GB2312" w:cs="Times New Roman"/>
        </w:rPr>
        <w:t>。</w:t>
      </w:r>
      <w:r>
        <w:rPr>
          <w:rFonts w:ascii="仿宋_GB2312"/>
          <w:color w:val="000000"/>
        </w:rPr>
        <w:t>到</w:t>
      </w:r>
      <w:r>
        <w:rPr>
          <w:rFonts w:ascii="仿宋_GB2312" w:hAnsi="仿宋" w:cs="Songti SC"/>
        </w:rPr>
        <w:t>2030</w:t>
      </w:r>
      <w:r>
        <w:rPr>
          <w:rFonts w:ascii="仿宋_GB2312"/>
          <w:color w:val="000000"/>
        </w:rPr>
        <w:t>年，深圳机场国际客货运航线超110条，</w:t>
      </w:r>
      <w:r>
        <w:rPr>
          <w:rFonts w:hint="eastAsia" w:ascii="仿宋_GB2312"/>
          <w:color w:val="000000"/>
        </w:rPr>
        <w:t>旅客吞吐量8000万人次，国际旅客吞吐量占比15%</w:t>
      </w:r>
      <w:r>
        <w:rPr>
          <w:rFonts w:ascii="仿宋_GB2312"/>
          <w:color w:val="000000"/>
        </w:rPr>
        <w:t>。</w:t>
      </w:r>
      <w:r>
        <w:rPr>
          <w:rFonts w:hint="eastAsia"/>
        </w:rPr>
        <w:t>打造高端航运服务中心，从船队建设、船舶租赁、船舶登记等维度，提升航运核心资源配置能力与高端航运服务业发展能级</w:t>
      </w:r>
      <w:r>
        <w:rPr>
          <w:rFonts w:hint="eastAsia" w:ascii="仿宋_GB2312" w:cs="Times New Roman"/>
        </w:rPr>
        <w:t>，加快建设前海、盐田航运服务总部集聚区。</w:t>
      </w:r>
      <w:r>
        <w:rPr>
          <w:rFonts w:ascii="仿宋_GB2312"/>
        </w:rPr>
        <w:t>丰富邮轮</w:t>
      </w:r>
      <w:r>
        <w:rPr>
          <w:rFonts w:hint="eastAsia" w:ascii="仿宋_GB2312"/>
        </w:rPr>
        <w:t>及水上客运服务体系，</w:t>
      </w:r>
      <w:r>
        <w:rPr>
          <w:rFonts w:ascii="仿宋_GB2312" w:hAnsi="Calibri"/>
          <w:color w:val="000000"/>
          <w:szCs w:val="32"/>
        </w:rPr>
        <w:t>深化与香港、广州邮轮港口合作，加快</w:t>
      </w:r>
      <w:r>
        <w:rPr>
          <w:rFonts w:hint="eastAsia" w:ascii="仿宋_GB2312" w:hAnsi="Calibri"/>
          <w:color w:val="000000"/>
          <w:szCs w:val="32"/>
        </w:rPr>
        <w:t>南澳码头等</w:t>
      </w:r>
      <w:r>
        <w:rPr>
          <w:rFonts w:ascii="仿宋_GB2312" w:hAnsi="Calibri"/>
          <w:color w:val="000000"/>
          <w:szCs w:val="32"/>
        </w:rPr>
        <w:t>海上客运和休闲码头规划建设，推动粤港澳游艇自由行</w:t>
      </w:r>
      <w:r>
        <w:rPr>
          <w:rFonts w:hint="eastAsia" w:ascii="仿宋_GB2312" w:hAnsi="Calibri"/>
          <w:color w:val="000000"/>
          <w:szCs w:val="32"/>
        </w:rPr>
        <w:t>，到</w:t>
      </w:r>
      <w:r>
        <w:rPr>
          <w:rFonts w:ascii="仿宋_GB2312" w:hAnsi="Calibri"/>
          <w:color w:val="000000"/>
          <w:szCs w:val="32"/>
        </w:rPr>
        <w:t>2030</w:t>
      </w:r>
      <w:r>
        <w:rPr>
          <w:rFonts w:hint="eastAsia" w:ascii="仿宋_GB2312" w:hAnsi="Calibri"/>
          <w:color w:val="000000"/>
          <w:szCs w:val="32"/>
        </w:rPr>
        <w:t>年，港口旅客吞吐量超800万人</w:t>
      </w:r>
      <w:r>
        <w:rPr>
          <w:rFonts w:hint="eastAsia" w:ascii="仿宋_GB2312"/>
        </w:rPr>
        <w:t>次。</w:t>
      </w:r>
      <w:r>
        <w:rPr>
          <w:rFonts w:hint="eastAsia" w:ascii="仿宋_GB2312" w:cs="Times New Roman"/>
          <w:szCs w:val="32"/>
        </w:rPr>
        <w:t>持续优化利用高铁富余能力开行市域列车，</w:t>
      </w:r>
      <w:r>
        <w:rPr>
          <w:rFonts w:ascii="仿宋_GB2312" w:cs="Times New Roman"/>
          <w:szCs w:val="32"/>
        </w:rPr>
        <w:t>拓展存量铁路设施服务市域、都市圈通勤的功能</w:t>
      </w:r>
      <w:r>
        <w:rPr>
          <w:rFonts w:hint="eastAsia" w:ascii="仿宋_GB2312" w:cs="Times New Roman"/>
          <w:szCs w:val="32"/>
        </w:rPr>
        <w:t>，到2030年，</w:t>
      </w:r>
      <w:r>
        <w:rPr>
          <w:rFonts w:hint="eastAsia" w:ascii="仿宋_GB2312" w:cs="Times New Roman"/>
        </w:rPr>
        <w:t>铁路旅客年发送量达1.5亿人次。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75" w:name="_Toc228352984"/>
      <w:r>
        <w:rPr>
          <w:rFonts w:ascii="Times New Roman" w:cs="Times New Roman"/>
          <w:szCs w:val="22"/>
        </w:rPr>
        <w:t>第</w:t>
      </w:r>
      <w:r>
        <w:rPr>
          <w:rFonts w:hint="eastAsia" w:ascii="Times New Roman" w:cs="Times New Roman"/>
          <w:szCs w:val="22"/>
        </w:rPr>
        <w:t>三</w:t>
      </w:r>
      <w:r>
        <w:rPr>
          <w:rFonts w:ascii="Times New Roman" w:cs="Times New Roman"/>
          <w:szCs w:val="22"/>
        </w:rPr>
        <w:t xml:space="preserve">节 </w:t>
      </w:r>
      <w:r>
        <w:rPr>
          <w:rFonts w:hint="eastAsia" w:ascii="Times New Roman" w:cs="Times New Roman"/>
          <w:szCs w:val="22"/>
        </w:rPr>
        <w:t>增强</w:t>
      </w:r>
      <w:r>
        <w:rPr>
          <w:rFonts w:ascii="Times New Roman" w:cs="Times New Roman"/>
          <w:szCs w:val="22"/>
        </w:rPr>
        <w:t>现代物流服务效能与竞争力</w:t>
      </w:r>
      <w:bookmarkEnd w:id="75"/>
    </w:p>
    <w:p>
      <w:pPr>
        <w:pStyle w:val="2"/>
        <w:ind w:firstLine="640"/>
        <w:rPr>
          <w:rFonts w:ascii="仿宋_GB2312"/>
          <w:color w:val="1F1F1F"/>
          <w:shd w:val="clear" w:color="auto" w:fill="FFFFFF"/>
        </w:rPr>
      </w:pPr>
      <w:bookmarkStart w:id="76" w:name="OLE_LINK2"/>
      <w:r>
        <w:rPr>
          <w:rFonts w:hint="eastAsia" w:ascii="仿宋_GB2312"/>
        </w:rPr>
        <w:t>构建内外通达海运网络，</w:t>
      </w:r>
      <w:r>
        <w:rPr>
          <w:rFonts w:hint="eastAsia" w:ascii="仿宋_GB2312"/>
          <w:kern w:val="0"/>
        </w:rPr>
        <w:t>持续巩固欧美远洋航线优势，拓展APEC区域</w:t>
      </w:r>
      <w:r>
        <w:rPr>
          <w:rFonts w:hint="eastAsia" w:ascii="仿宋_GB2312"/>
        </w:rPr>
        <w:t>及“一带一路”共建国家海运航线</w:t>
      </w:r>
      <w:bookmarkEnd w:id="76"/>
      <w:r>
        <w:rPr>
          <w:rFonts w:hint="eastAsia" w:ascii="仿宋_GB2312"/>
        </w:rPr>
        <w:t>。深化与主要班轮公司战略合作，大力发展水水中转、汽车海运、国际中转集拼等业务，大力拓展内贸和近洋航线，推动内贸集装箱量质齐升，</w:t>
      </w:r>
      <w:r>
        <w:rPr>
          <w:rFonts w:ascii="仿宋_GB2312"/>
        </w:rPr>
        <w:t>到2030年，港口集装箱吞吐量达3800万标箱</w:t>
      </w:r>
      <w:r>
        <w:rPr>
          <w:rFonts w:hint="eastAsia" w:ascii="仿宋_GB2312"/>
        </w:rPr>
        <w:t>。</w:t>
      </w:r>
      <w:r>
        <w:rPr>
          <w:rFonts w:hint="eastAsia" w:ascii="仿宋_GB2312"/>
          <w:color w:val="000000"/>
          <w:szCs w:val="32"/>
        </w:rPr>
        <w:t>增强国际航空货运保障能力，</w:t>
      </w:r>
      <w:r>
        <w:rPr>
          <w:rFonts w:ascii="仿宋_GB2312"/>
          <w:color w:val="000000"/>
          <w:szCs w:val="32"/>
        </w:rPr>
        <w:t>优化空空中转流程</w:t>
      </w:r>
      <w:r>
        <w:rPr>
          <w:rFonts w:hint="eastAsia" w:ascii="仿宋_GB2312"/>
          <w:color w:val="000000"/>
          <w:szCs w:val="32"/>
        </w:rPr>
        <w:t>，</w:t>
      </w:r>
      <w:r>
        <w:rPr>
          <w:rFonts w:ascii="仿宋_GB2312"/>
          <w:color w:val="000000"/>
          <w:szCs w:val="32"/>
        </w:rPr>
        <w:t>加快建设带安检功能的专业航空前置货站，扩大港口后方、机场周边冷链物流设施规模</w:t>
      </w:r>
      <w:r>
        <w:rPr>
          <w:rFonts w:hint="eastAsia" w:ascii="仿宋_GB2312"/>
          <w:color w:val="000000"/>
          <w:szCs w:val="32"/>
        </w:rPr>
        <w:t>，到2030年，机场</w:t>
      </w:r>
      <w:r>
        <w:rPr>
          <w:rFonts w:hint="eastAsia" w:ascii="仿宋_GB2312"/>
        </w:rPr>
        <w:t>货邮吞吐量超285万吨。</w:t>
      </w:r>
      <w:r>
        <w:rPr>
          <w:rFonts w:hint="eastAsia" w:ascii="仿宋_GB2312"/>
          <w:color w:val="000000"/>
          <w:szCs w:val="32"/>
        </w:rPr>
        <w:t>增加</w:t>
      </w:r>
      <w:r>
        <w:rPr>
          <w:rFonts w:ascii="仿宋_GB2312"/>
          <w:color w:val="000000"/>
          <w:szCs w:val="32"/>
        </w:rPr>
        <w:t>中欧班列</w:t>
      </w:r>
      <w:r>
        <w:rPr>
          <w:rFonts w:hint="eastAsia" w:ascii="仿宋_GB2312"/>
          <w:color w:val="000000"/>
          <w:szCs w:val="32"/>
        </w:rPr>
        <w:t>在深圳开行班次，到2030年，国际班列年开行量达到300列。</w:t>
      </w:r>
      <w:bookmarkStart w:id="77" w:name="_Toc226556358"/>
      <w:bookmarkStart w:id="78" w:name="_Toc223982524"/>
      <w:r>
        <w:rPr>
          <w:rFonts w:hint="eastAsia" w:ascii="仿宋_GB2312"/>
          <w:color w:val="000000"/>
          <w:szCs w:val="32"/>
        </w:rPr>
        <w:t>推动物流降本提质增效，</w:t>
      </w:r>
      <w:r>
        <w:rPr>
          <w:rFonts w:hint="eastAsia" w:ascii="仿宋_GB2312"/>
          <w:color w:val="000000"/>
        </w:rPr>
        <w:t>推广物流载具标准化与“云仓”模式，鼓励物流分拨</w:t>
      </w:r>
      <w:r>
        <w:rPr>
          <w:rFonts w:ascii="仿宋_GB2312"/>
          <w:color w:val="1F1F1F"/>
          <w:shd w:val="clear" w:color="auto" w:fill="FFFFFF"/>
        </w:rPr>
        <w:t>中心提供集拼、分拣、流通加工等多功能服务</w:t>
      </w:r>
      <w:r>
        <w:rPr>
          <w:rFonts w:hint="eastAsia" w:ascii="仿宋_GB2312"/>
          <w:color w:val="1F1F1F"/>
          <w:shd w:val="clear" w:color="auto" w:fill="FFFFFF"/>
        </w:rPr>
        <w:t>，</w:t>
      </w:r>
      <w:r>
        <w:rPr>
          <w:rFonts w:ascii="仿宋_GB2312"/>
          <w:color w:val="000000"/>
          <w:szCs w:val="32"/>
        </w:rPr>
        <w:t>大力发展即时配送、半日达等服务品类</w:t>
      </w:r>
      <w:r>
        <w:rPr>
          <w:rFonts w:hint="eastAsia" w:ascii="仿宋_GB2312"/>
          <w:color w:val="1F1F1F"/>
          <w:shd w:val="clear" w:color="auto" w:fill="FFFFFF"/>
        </w:rPr>
        <w:t>，</w:t>
      </w:r>
      <w:r>
        <w:rPr>
          <w:rFonts w:hint="eastAsia" w:ascii="仿宋_GB2312"/>
          <w:color w:val="000000"/>
          <w:szCs w:val="32"/>
        </w:rPr>
        <w:t>到2030年，快递年业务量达到100亿单，邮政行业业务收入达</w:t>
      </w:r>
      <w:r>
        <w:rPr>
          <w:rFonts w:ascii="仿宋_GB2312"/>
          <w:color w:val="000000"/>
          <w:szCs w:val="32"/>
        </w:rPr>
        <w:t>950</w:t>
      </w:r>
      <w:r>
        <w:rPr>
          <w:rFonts w:hint="eastAsia" w:ascii="仿宋_GB2312"/>
          <w:color w:val="000000"/>
          <w:szCs w:val="32"/>
        </w:rPr>
        <w:t>亿元。</w:t>
      </w:r>
    </w:p>
    <w:bookmarkEnd w:id="77"/>
    <w:bookmarkEnd w:id="78"/>
    <w:p>
      <w:pPr>
        <w:pStyle w:val="3"/>
        <w:numPr>
          <w:ilvl w:val="0"/>
          <w:numId w:val="0"/>
        </w:numPr>
        <w:rPr>
          <w:rFonts w:cs="Times New Roman"/>
          <w:b w:val="0"/>
          <w:bCs w:val="0"/>
        </w:rPr>
      </w:pPr>
      <w:bookmarkStart w:id="79" w:name="_Toc223982525"/>
      <w:bookmarkStart w:id="80" w:name="_Toc228352985"/>
      <w:bookmarkStart w:id="81" w:name="_Toc226556359"/>
      <w:r>
        <w:rPr>
          <w:rFonts w:hint="eastAsia" w:cs="Times New Roman"/>
          <w:b w:val="0"/>
          <w:bCs w:val="0"/>
        </w:rPr>
        <w:t>第四章</w:t>
      </w:r>
      <w:r>
        <w:rPr>
          <w:rFonts w:cs="Times New Roman"/>
          <w:b w:val="0"/>
          <w:bCs w:val="0"/>
        </w:rPr>
        <w:t xml:space="preserve"> </w:t>
      </w:r>
      <w:r>
        <w:rPr>
          <w:rFonts w:hint="eastAsia" w:cs="Times New Roman"/>
          <w:b w:val="0"/>
          <w:bCs w:val="0"/>
        </w:rPr>
        <w:t>完善立体协同的城市内部交通网络</w:t>
      </w:r>
      <w:bookmarkEnd w:id="79"/>
      <w:bookmarkEnd w:id="80"/>
      <w:bookmarkEnd w:id="81"/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82" w:name="_Toc228352986"/>
      <w:r>
        <w:rPr>
          <w:rFonts w:ascii="Times New Roman" w:cs="Times New Roman"/>
          <w:szCs w:val="22"/>
        </w:rPr>
        <w:t>第一节 构建多层覆盖的骨干交通网络</w:t>
      </w:r>
      <w:bookmarkEnd w:id="82"/>
    </w:p>
    <w:p>
      <w:pPr>
        <w:ind w:firstLine="640"/>
      </w:pPr>
      <w:r>
        <w:rPr>
          <w:rFonts w:hint="eastAsia" w:ascii="仿宋_GB2312" w:cs="Times New Roman"/>
        </w:rPr>
        <w:t>加快城市轨道交通网络化发展，构建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 w:cs="Times New Roman"/>
        </w:rPr>
        <w:t>强心强轴、外围成网、区域融合”的城市轨道交通网络，到</w:t>
      </w:r>
      <w:r>
        <w:rPr>
          <w:rFonts w:hint="eastAsia" w:ascii="仿宋_GB2312" w:hAnsi="仿宋" w:cs="Songti SC"/>
          <w:bCs/>
        </w:rPr>
        <w:t>2030</w:t>
      </w:r>
      <w:r>
        <w:rPr>
          <w:rFonts w:hint="eastAsia" w:ascii="仿宋_GB2312" w:cs="Times New Roman"/>
        </w:rPr>
        <w:t>年，城市轨道通车里程达</w:t>
      </w:r>
      <w:r>
        <w:rPr>
          <w:rFonts w:hint="eastAsia" w:ascii="仿宋_GB2312" w:hAnsi="仿宋" w:cs="Songti SC"/>
          <w:bCs/>
        </w:rPr>
        <w:t>845</w:t>
      </w:r>
      <w:r>
        <w:rPr>
          <w:rFonts w:hint="eastAsia" w:ascii="仿宋_GB2312" w:cs="Times New Roman"/>
        </w:rPr>
        <w:t>公里，运营线路达26条，车站达589座。构建内畅外联的高快速路网，打造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cs="Times New Roman"/>
        </w:rPr>
        <w:t>八横十三纵</w:t>
      </w:r>
      <w:r>
        <w:rPr>
          <w:rFonts w:hint="eastAsia" w:ascii="仿宋_GB2312" w:cs="Times New Roman"/>
        </w:rPr>
        <w:t>”高快速</w:t>
      </w:r>
      <w:r>
        <w:rPr>
          <w:rFonts w:ascii="仿宋_GB2312" w:cs="Times New Roman"/>
        </w:rPr>
        <w:t>路网</w:t>
      </w:r>
      <w:r>
        <w:rPr>
          <w:rFonts w:hint="eastAsia" w:ascii="仿宋_GB2312" w:cs="Times New Roman"/>
        </w:rPr>
        <w:t>体系</w:t>
      </w:r>
      <w:r>
        <w:rPr>
          <w:rFonts w:ascii="仿宋_GB2312" w:cs="Times New Roman"/>
        </w:rPr>
        <w:t>，</w:t>
      </w:r>
      <w:r>
        <w:rPr>
          <w:rFonts w:hint="eastAsia"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_GB2312" w:hAnsi="仿宋" w:cs="Songti SC"/>
          <w:bCs/>
        </w:rPr>
        <w:t>2030</w:t>
      </w:r>
      <w:r>
        <w:rPr>
          <w:rFonts w:hint="eastAsia" w:ascii="仿宋_GB2312" w:cs="Times New Roman"/>
        </w:rPr>
        <w:t>年，高快速路通车里程超</w:t>
      </w:r>
      <w:r>
        <w:rPr>
          <w:rFonts w:hint="eastAsia" w:ascii="仿宋_GB2312" w:hAnsi="仿宋" w:cs="Songti SC"/>
          <w:bCs/>
        </w:rPr>
        <w:t>730</w:t>
      </w:r>
      <w:r>
        <w:rPr>
          <w:rFonts w:hint="eastAsia" w:ascii="仿宋_GB2312" w:cs="Times New Roman"/>
        </w:rPr>
        <w:t>公里，</w:t>
      </w:r>
      <w:r>
        <w:rPr>
          <w:rFonts w:hint="eastAsia"/>
        </w:rPr>
        <w:t>实现全市域10分钟上高快速路</w:t>
      </w:r>
      <w:r>
        <w:rPr>
          <w:rFonts w:hint="eastAsia" w:ascii="仿宋_GB2312" w:cs="Times New Roman"/>
        </w:rPr>
        <w:t>。积极谋划科创大道</w:t>
      </w:r>
      <w:r>
        <w:rPr>
          <w:rFonts w:hint="eastAsia"/>
        </w:rPr>
        <w:t>、赛米大道、双湖大道等重点工程，</w:t>
      </w:r>
      <w:r>
        <w:t>提升</w:t>
      </w:r>
      <w:r>
        <w:rPr>
          <w:rFonts w:hint="eastAsia"/>
        </w:rPr>
        <w:t>各个重要科技创新区域的</w:t>
      </w:r>
      <w:r>
        <w:t>连通性和运行效率</w:t>
      </w:r>
      <w:r>
        <w:rPr>
          <w:rFonts w:hint="eastAsia"/>
        </w:rPr>
        <w:t>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83" w:name="_Toc228352987"/>
      <w:r>
        <w:rPr>
          <w:rFonts w:ascii="Times New Roman" w:cs="Times New Roman"/>
          <w:szCs w:val="22"/>
        </w:rPr>
        <w:t>第</w:t>
      </w:r>
      <w:r>
        <w:rPr>
          <w:rFonts w:hint="eastAsia" w:ascii="Times New Roman" w:cs="Times New Roman"/>
          <w:szCs w:val="22"/>
        </w:rPr>
        <w:t>二</w:t>
      </w:r>
      <w:r>
        <w:rPr>
          <w:rFonts w:ascii="Times New Roman" w:cs="Times New Roman"/>
          <w:szCs w:val="22"/>
        </w:rPr>
        <w:t>节 打造品质多元的城市出行服务</w:t>
      </w:r>
      <w:bookmarkEnd w:id="83"/>
    </w:p>
    <w:p>
      <w:pPr>
        <w:pStyle w:val="2"/>
        <w:ind w:firstLine="640"/>
      </w:pPr>
      <w:r>
        <w:rPr>
          <w:rFonts w:hint="eastAsia" w:ascii="仿宋_GB2312"/>
        </w:rPr>
        <w:t>构建多层次公共交通服务体系，持续完善轨道交通为主、地面公交</w:t>
      </w:r>
      <w:r>
        <w:rPr>
          <w:rFonts w:hint="eastAsia" w:ascii="仿宋_GB2312"/>
          <w:szCs w:val="32"/>
        </w:rPr>
        <w:t>为辅、步行骑行为补充的多网融合交通体系</w:t>
      </w:r>
      <w:r>
        <w:rPr>
          <w:rFonts w:hint="eastAsia" w:ascii="仿宋_GB2312"/>
        </w:rPr>
        <w:t>。</w:t>
      </w:r>
      <w:r>
        <w:rPr>
          <w:rFonts w:ascii="仿宋_GB2312"/>
          <w:szCs w:val="32"/>
        </w:rPr>
        <w:t>持续优化公交线网结构</w:t>
      </w:r>
      <w:r>
        <w:rPr>
          <w:rFonts w:hint="eastAsia" w:ascii="仿宋_GB2312"/>
          <w:szCs w:val="32"/>
        </w:rPr>
        <w:t>及公交专用道布局，取消低效公交专用道，发展接驳公交、微循环公交</w:t>
      </w:r>
      <w:r>
        <w:rPr>
          <w:rFonts w:hint="eastAsia" w:ascii="仿宋_GB2312"/>
        </w:rPr>
        <w:t>及定制公交</w:t>
      </w:r>
      <w:r>
        <w:rPr>
          <w:rFonts w:hint="eastAsia" w:ascii="仿宋_GB2312"/>
          <w:szCs w:val="32"/>
        </w:rPr>
        <w:t>。</w:t>
      </w:r>
      <w:r>
        <w:rPr>
          <w:rFonts w:hint="eastAsia" w:ascii="仿宋_GB2312"/>
        </w:rPr>
        <w:t>提升慢行交通品质与停车泊位供给，加快实施轨道交通站点周边风雨连廊等接驳设施和慢行系统“微改造”。</w:t>
      </w:r>
      <w:r>
        <w:rPr>
          <w:rFonts w:ascii="仿宋_GB2312"/>
        </w:rPr>
        <w:t>新改扩建城市道路原则上均应设置</w:t>
      </w:r>
      <w:r>
        <w:rPr>
          <w:rFonts w:hint="eastAsia" w:ascii="仿宋_GB2312"/>
        </w:rPr>
        <w:t>非机动</w:t>
      </w:r>
      <w:r>
        <w:rPr>
          <w:rFonts w:ascii="仿宋_GB2312"/>
        </w:rPr>
        <w:t>车道</w:t>
      </w:r>
      <w:r>
        <w:rPr>
          <w:rFonts w:hint="eastAsia" w:ascii="仿宋_GB2312"/>
        </w:rPr>
        <w:t>，现状道路“一路一策”推动非机动车道建设。构建“以配建停车设施为主、路外公共停车设施为辅、路内停车为补充”设施体系。到2030年，非机动车道里程增加约1500公里，总里程超9000公里、基本实现全覆盖，新增停车位40万个、总量达440万个。</w:t>
      </w:r>
      <w:r>
        <w:rPr>
          <w:rFonts w:ascii="仿宋_GB2312"/>
        </w:rPr>
        <w:t>结合城市空间及道路承载力，研究确定机动车、电动自行车等交通工具合理规模并科学管控。</w:t>
      </w:r>
    </w:p>
    <w:p>
      <w:pPr>
        <w:pStyle w:val="3"/>
        <w:numPr>
          <w:ilvl w:val="0"/>
          <w:numId w:val="0"/>
        </w:numPr>
        <w:jc w:val="both"/>
        <w:rPr>
          <w:rFonts w:cs="Times New Roman"/>
          <w:b w:val="0"/>
          <w:bCs w:val="0"/>
        </w:rPr>
        <w:sectPr>
          <w:footnotePr>
            <w:numRestart w:val="eachPage"/>
          </w:footnotePr>
          <w:pgSz w:w="11906" w:h="16838"/>
          <w:pgMar w:top="1440" w:right="1800" w:bottom="1440" w:left="1800" w:header="794" w:footer="992" w:gutter="0"/>
          <w:cols w:space="425" w:num="1"/>
          <w:docGrid w:type="lines" w:linePitch="435" w:charSpace="0"/>
        </w:sectPr>
      </w:pPr>
      <w:bookmarkStart w:id="84" w:name="_Toc223982533"/>
      <w:bookmarkStart w:id="85" w:name="_Toc223982527"/>
    </w:p>
    <w:bookmarkEnd w:id="84"/>
    <w:p>
      <w:pPr>
        <w:pStyle w:val="3"/>
        <w:numPr>
          <w:ilvl w:val="0"/>
          <w:numId w:val="0"/>
        </w:numPr>
        <w:rPr>
          <w:rFonts w:cs="Times New Roman"/>
          <w:b w:val="0"/>
          <w:bCs w:val="0"/>
        </w:rPr>
      </w:pPr>
      <w:bookmarkStart w:id="86" w:name="_Toc212805182"/>
      <w:bookmarkEnd w:id="86"/>
      <w:bookmarkStart w:id="87" w:name="_Toc212805368"/>
      <w:bookmarkEnd w:id="87"/>
      <w:bookmarkStart w:id="88" w:name="_Toc223982542"/>
      <w:bookmarkStart w:id="89" w:name="_Toc228352988"/>
      <w:bookmarkStart w:id="90" w:name="_Toc226556364"/>
      <w:r>
        <w:rPr>
          <w:rFonts w:cs="Times New Roman"/>
          <w:b w:val="0"/>
          <w:bCs w:val="0"/>
        </w:rPr>
        <w:t>第</w:t>
      </w:r>
      <w:r>
        <w:rPr>
          <w:rFonts w:hint="eastAsia" w:cs="Times New Roman"/>
          <w:b w:val="0"/>
          <w:bCs w:val="0"/>
        </w:rPr>
        <w:t>五</w:t>
      </w:r>
      <w:r>
        <w:rPr>
          <w:rFonts w:cs="Times New Roman"/>
          <w:b w:val="0"/>
          <w:bCs w:val="0"/>
        </w:rPr>
        <w:t xml:space="preserve">章 </w:t>
      </w:r>
      <w:bookmarkEnd w:id="88"/>
      <w:r>
        <w:rPr>
          <w:rFonts w:hint="eastAsia" w:cs="Times New Roman"/>
          <w:b w:val="0"/>
          <w:bCs w:val="0"/>
        </w:rPr>
        <w:t>推进跨域协同的一体化交通发展格局</w:t>
      </w:r>
      <w:bookmarkEnd w:id="89"/>
      <w:bookmarkEnd w:id="90"/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91" w:name="_Toc228352989"/>
      <w:bookmarkStart w:id="92" w:name="_Toc226556365"/>
      <w:r>
        <w:rPr>
          <w:rFonts w:hint="eastAsia" w:ascii="Times New Roman" w:cs="Times New Roman"/>
          <w:szCs w:val="22"/>
        </w:rPr>
        <w:t>第一节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强化跨方式融合衔接的运输体系</w:t>
      </w:r>
      <w:bookmarkEnd w:id="91"/>
      <w:bookmarkEnd w:id="92"/>
    </w:p>
    <w:p>
      <w:pPr>
        <w:ind w:firstLine="640"/>
        <w:rPr>
          <w:rFonts w:ascii="仿宋_GB2312" w:cs="Times New Roman"/>
        </w:rPr>
      </w:pPr>
      <w:r>
        <w:rPr>
          <w:rFonts w:hint="eastAsia" w:ascii="仿宋_GB2312" w:cs="Times New Roman"/>
          <w:szCs w:val="32"/>
        </w:rPr>
        <w:t>深化大湾区机场群协同联动，</w:t>
      </w:r>
      <w:r>
        <w:rPr>
          <w:rFonts w:ascii="仿宋_GB2312" w:cs="Times New Roman"/>
          <w:szCs w:val="32"/>
        </w:rPr>
        <w:t>创新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cs="Times New Roman"/>
          <w:szCs w:val="32"/>
        </w:rPr>
        <w:t>空陆海</w:t>
      </w:r>
      <w:r>
        <w:rPr>
          <w:rFonts w:hint="eastAsia" w:ascii="仿宋_GB2312" w:cs="Times New Roman"/>
          <w:szCs w:val="32"/>
        </w:rPr>
        <w:t>”</w:t>
      </w:r>
      <w:r>
        <w:rPr>
          <w:rFonts w:ascii="仿宋_GB2312" w:cs="Times New Roman"/>
          <w:szCs w:val="32"/>
        </w:rPr>
        <w:t>一票通联运产品</w:t>
      </w:r>
      <w:r>
        <w:rPr>
          <w:rFonts w:hint="eastAsia" w:ascii="仿宋_GB2312" w:cs="Times New Roman"/>
          <w:szCs w:val="32"/>
        </w:rPr>
        <w:t>，依托</w:t>
      </w:r>
      <w:r>
        <w:rPr>
          <w:rFonts w:ascii="仿宋_GB2312" w:cs="Times New Roman"/>
          <w:szCs w:val="32"/>
        </w:rPr>
        <w:t>机场东枢纽</w:t>
      </w:r>
      <w:r>
        <w:rPr>
          <w:rFonts w:hint="eastAsia" w:ascii="仿宋_GB2312" w:cs="Times New Roman"/>
          <w:szCs w:val="32"/>
        </w:rPr>
        <w:t>建设</w:t>
      </w:r>
      <w:r>
        <w:rPr>
          <w:rFonts w:ascii="仿宋_GB2312" w:cs="Times New Roman"/>
          <w:szCs w:val="32"/>
        </w:rPr>
        <w:t>打造空铁联运示范工程。</w:t>
      </w:r>
      <w:r>
        <w:rPr>
          <w:rFonts w:hint="eastAsia" w:ascii="仿宋_GB2312" w:cs="Times New Roman"/>
          <w:szCs w:val="32"/>
        </w:rPr>
        <w:t>支持惠州机场打造区域性枢纽机场并发挥深圳第二机场功能。</w:t>
      </w:r>
      <w:r>
        <w:rPr>
          <w:rFonts w:hint="eastAsia" w:ascii="仿宋_GB2312" w:cs="Times New Roman"/>
        </w:rPr>
        <w:t>持续优化港口集疏运体系，</w:t>
      </w:r>
      <w:r>
        <w:rPr>
          <w:rFonts w:hint="eastAsia" w:ascii="仿宋_GB2312"/>
          <w:color w:val="000000"/>
          <w:szCs w:val="32"/>
        </w:rPr>
        <w:t>完善水水中转-组合港体系，拓展海铁联运-内陆港体系，</w:t>
      </w:r>
      <w:r>
        <w:rPr>
          <w:rFonts w:ascii="仿宋_GB2312" w:cs="Times New Roman"/>
        </w:rPr>
        <w:t>大力发展邮轮海空联运服务</w:t>
      </w:r>
      <w:r>
        <w:rPr>
          <w:rFonts w:hint="eastAsia" w:ascii="仿宋_GB2312" w:cs="Times New Roman"/>
        </w:rPr>
        <w:t>。推进区域公共交通多网融合，</w:t>
      </w:r>
      <w:r>
        <w:rPr>
          <w:rFonts w:hint="eastAsia" w:ascii="仿宋_GB2312"/>
          <w:color w:val="000000"/>
          <w:szCs w:val="32"/>
        </w:rPr>
        <w:t>推动城际铁路网络一体化运营</w:t>
      </w:r>
      <w:r>
        <w:rPr>
          <w:rFonts w:ascii="仿宋_GB2312" w:cs="Times New Roman"/>
        </w:rPr>
        <w:t>。</w:t>
      </w:r>
      <w:r>
        <w:rPr>
          <w:rFonts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推广多式联运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一单制</w:t>
      </w:r>
      <w:r>
        <w:rPr>
          <w:rFonts w:hint="eastAsia"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”“</w:t>
      </w:r>
      <w:r>
        <w:rPr>
          <w:rFonts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一箱制</w:t>
      </w:r>
      <w:r>
        <w:rPr>
          <w:rFonts w:hint="eastAsia"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”，</w:t>
      </w:r>
      <w:r>
        <w:rPr>
          <w:rFonts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前瞻布局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低空-地面-地下</w:t>
      </w:r>
      <w:r>
        <w:rPr>
          <w:rFonts w:hint="eastAsia"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立体配送体系</w:t>
      </w:r>
      <w:r>
        <w:rPr>
          <w:rFonts w:hint="eastAsia"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拓展城市及城际无人机配送</w:t>
      </w:r>
      <w:r>
        <w:rPr>
          <w:rFonts w:hint="eastAsia"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cs="Times New Roman"/>
        </w:rPr>
        <w:t>深化跨方式一体化管理体制改革，</w:t>
      </w:r>
      <w:r>
        <w:rPr>
          <w:rFonts w:ascii="仿宋_GB2312" w:cs="Times New Roman"/>
        </w:rPr>
        <w:t>推动公交资源整合。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93" w:name="_Toc226556366"/>
      <w:bookmarkStart w:id="94" w:name="_Toc19680"/>
      <w:bookmarkStart w:id="95" w:name="_Toc228352990"/>
      <w:bookmarkStart w:id="96" w:name="_Toc216786924"/>
      <w:bookmarkStart w:id="97" w:name="_Toc223982544"/>
      <w:r>
        <w:rPr>
          <w:rFonts w:hint="eastAsia" w:ascii="Times New Roman" w:cs="Times New Roman"/>
          <w:szCs w:val="22"/>
        </w:rPr>
        <w:t>第二节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推动跨领域深度融合的协同发展</w:t>
      </w:r>
      <w:bookmarkEnd w:id="93"/>
      <w:bookmarkEnd w:id="94"/>
      <w:bookmarkEnd w:id="95"/>
      <w:bookmarkEnd w:id="96"/>
      <w:bookmarkEnd w:id="97"/>
    </w:p>
    <w:p>
      <w:pPr>
        <w:widowControl/>
        <w:ind w:firstLine="640"/>
        <w:rPr>
          <w:rFonts w:ascii="仿宋_GB2312" w:cs="Times New Roman"/>
        </w:rPr>
      </w:pPr>
      <w:r>
        <w:rPr>
          <w:rFonts w:hint="eastAsia" w:ascii="仿宋_GB2312" w:cs="Times New Roman"/>
        </w:rPr>
        <w:t>推动交通与旅游、邮政快递、新型基础设施、现代商贸等领域深度融合发展。</w:t>
      </w:r>
      <w:r>
        <w:rPr>
          <w:rFonts w:ascii="仿宋_GB2312" w:cs="Times New Roman"/>
        </w:rPr>
        <w:t>以山海连城为抓手，深化交通文旅融合建设</w:t>
      </w:r>
      <w:r>
        <w:rPr>
          <w:rFonts w:hint="eastAsia" w:ascii="仿宋_GB2312" w:cs="Times New Roman"/>
        </w:rPr>
        <w:t>，</w:t>
      </w:r>
      <w:r>
        <w:rPr>
          <w:rFonts w:ascii="仿宋_GB2312" w:cs="Times New Roman"/>
        </w:rPr>
        <w:t>打造最美徒步之城和骑行友好城市。推动邮政快递与交通运输站场、线路、运力等资源共建共享。构建基于北斗、5G的交通应用场景与生态，综合应用人工智能</w:t>
      </w:r>
      <w:r>
        <w:rPr>
          <w:rFonts w:hint="eastAsia" w:ascii="仿宋_GB2312" w:cs="Times New Roman"/>
        </w:rPr>
        <w:t>等</w:t>
      </w:r>
      <w:r>
        <w:rPr>
          <w:rFonts w:ascii="仿宋_GB2312" w:cs="Times New Roman"/>
        </w:rPr>
        <w:t>技术，支撑交通</w:t>
      </w:r>
      <w:r>
        <w:rPr>
          <w:rFonts w:hint="eastAsia" w:ascii="仿宋_GB2312" w:cs="Times New Roman"/>
        </w:rPr>
        <w:t>基础设施</w:t>
      </w:r>
      <w:r>
        <w:rPr>
          <w:rFonts w:ascii="仿宋_GB2312" w:cs="Times New Roman"/>
        </w:rPr>
        <w:t>网、</w:t>
      </w:r>
      <w:r>
        <w:rPr>
          <w:rFonts w:hint="eastAsia" w:ascii="仿宋_GB2312" w:cs="Times New Roman"/>
        </w:rPr>
        <w:t>运输服务网、</w:t>
      </w:r>
      <w:r>
        <w:rPr>
          <w:rFonts w:ascii="仿宋_GB2312" w:cs="Times New Roman"/>
        </w:rPr>
        <w:t>能源网与信息网络全面融合发展。</w:t>
      </w:r>
      <w:r>
        <w:rPr>
          <w:rFonts w:hint="eastAsia" w:ascii="仿宋_GB2312" w:cs="Times New Roman"/>
        </w:rPr>
        <w:t>引导物流服务向供应链上下游延伸，支持国际邮政、国际快递、国际货运代理等业务发展壮大。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98" w:name="_Toc228352991"/>
      <w:bookmarkStart w:id="99" w:name="_Toc226556367"/>
      <w:bookmarkStart w:id="100" w:name="_Toc31380"/>
      <w:bookmarkStart w:id="101" w:name="_Toc216786923"/>
      <w:bookmarkStart w:id="102" w:name="_Toc223982543"/>
      <w:bookmarkStart w:id="103" w:name="_Toc223982545"/>
      <w:bookmarkStart w:id="104" w:name="_Toc25234"/>
      <w:bookmarkStart w:id="105" w:name="_Toc216786925"/>
      <w:r>
        <w:rPr>
          <w:rFonts w:hint="eastAsia" w:ascii="Times New Roman" w:cs="Times New Roman"/>
          <w:szCs w:val="22"/>
        </w:rPr>
        <w:t>第三节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健全跨区域互联互通设施与制度</w:t>
      </w:r>
      <w:bookmarkEnd w:id="98"/>
      <w:bookmarkEnd w:id="99"/>
      <w:bookmarkEnd w:id="100"/>
      <w:bookmarkEnd w:id="101"/>
      <w:bookmarkEnd w:id="102"/>
    </w:p>
    <w:p>
      <w:pPr>
        <w:ind w:firstLine="640"/>
        <w:rPr>
          <w:rFonts w:ascii="仿宋_GB2312" w:cs="Times New Roman"/>
        </w:rPr>
      </w:pPr>
      <w:r>
        <w:rPr>
          <w:rFonts w:hint="eastAsia" w:ascii="仿宋_GB2312" w:cs="Times New Roman"/>
        </w:rPr>
        <w:t>健全都市圈一体化治理体制机制，形成</w:t>
      </w:r>
      <w:r>
        <w:rPr>
          <w:rFonts w:ascii="仿宋_GB2312" w:cs="Times New Roman"/>
        </w:rPr>
        <w:t>跨市设施建设、运营服务、</w:t>
      </w:r>
      <w:r>
        <w:rPr>
          <w:rFonts w:hint="eastAsia" w:ascii="仿宋_GB2312" w:cs="Times New Roman"/>
        </w:rPr>
        <w:t>基建</w:t>
      </w:r>
      <w:r>
        <w:rPr>
          <w:rFonts w:ascii="仿宋_GB2312" w:cs="Times New Roman"/>
        </w:rPr>
        <w:t>养护</w:t>
      </w:r>
      <w:r>
        <w:rPr>
          <w:rFonts w:hint="eastAsia" w:ascii="仿宋_GB2312" w:cs="Times New Roman"/>
        </w:rPr>
        <w:t>等领域标准与协同机制，研究推动跨市地铁规划建设，</w:t>
      </w:r>
      <w:r>
        <w:rPr>
          <w:rFonts w:ascii="仿宋_GB2312" w:cs="Times New Roman"/>
        </w:rPr>
        <w:t>提升跨市公交服务水平</w:t>
      </w:r>
      <w:r>
        <w:rPr>
          <w:rFonts w:hint="eastAsia" w:ascii="仿宋_GB2312" w:cs="Times New Roman"/>
        </w:rPr>
        <w:t>，推进跨市瓶颈路段建设，到2030年，深圳都市圈跨市道路数量超50条。构建立体协同的深港交通网，</w:t>
      </w:r>
      <w:r>
        <w:rPr>
          <w:rFonts w:ascii="仿宋_GB2312" w:cs="Times New Roman"/>
        </w:rPr>
        <w:t>统筹优化调整深港跨境口岸设施功能</w:t>
      </w:r>
      <w:r>
        <w:rPr>
          <w:rFonts w:hint="eastAsia" w:ascii="仿宋_GB2312" w:cs="Times New Roman"/>
        </w:rPr>
        <w:t>与</w:t>
      </w:r>
      <w:r>
        <w:rPr>
          <w:rFonts w:ascii="仿宋_GB2312" w:cs="Times New Roman"/>
        </w:rPr>
        <w:t>空间布局，稳步发展跨境直升机服务</w:t>
      </w:r>
      <w:r>
        <w:rPr>
          <w:rFonts w:hint="eastAsia" w:ascii="仿宋_GB2312" w:cs="Times New Roman"/>
        </w:rPr>
        <w:t>，扩大粤港澳游艇自由行试点范围。</w:t>
      </w:r>
    </w:p>
    <w:p>
      <w:pPr>
        <w:widowControl/>
        <w:ind w:firstLine="640"/>
        <w:rPr>
          <w:rFonts w:ascii="仿宋_GB2312" w:cs="Times New Roman"/>
        </w:rPr>
      </w:pPr>
    </w:p>
    <w:bookmarkEnd w:id="103"/>
    <w:bookmarkEnd w:id="104"/>
    <w:bookmarkEnd w:id="105"/>
    <w:p>
      <w:pPr>
        <w:pStyle w:val="3"/>
        <w:numPr>
          <w:ilvl w:val="0"/>
          <w:numId w:val="0"/>
        </w:numPr>
        <w:rPr>
          <w:rFonts w:ascii="仿宋_GB2312" w:cs="Times New Roman"/>
          <w:b w:val="0"/>
          <w:bCs w:val="0"/>
        </w:rPr>
        <w:sectPr>
          <w:footnotePr>
            <w:numRestart w:val="eachPage"/>
          </w:footnotePr>
          <w:pgSz w:w="11906" w:h="16838"/>
          <w:pgMar w:top="1440" w:right="1800" w:bottom="1440" w:left="1800" w:header="794" w:footer="992" w:gutter="0"/>
          <w:cols w:space="425" w:num="1"/>
          <w:docGrid w:type="lines" w:linePitch="435" w:charSpace="0"/>
        </w:sectPr>
      </w:pPr>
    </w:p>
    <w:p>
      <w:pPr>
        <w:pStyle w:val="3"/>
        <w:numPr>
          <w:ilvl w:val="0"/>
          <w:numId w:val="0"/>
        </w:numPr>
        <w:rPr>
          <w:rFonts w:cs="Times New Roman"/>
          <w:b w:val="0"/>
          <w:bCs w:val="0"/>
        </w:rPr>
      </w:pPr>
      <w:bookmarkStart w:id="106" w:name="_Toc228352992"/>
      <w:bookmarkStart w:id="107" w:name="_Toc226556368"/>
      <w:r>
        <w:rPr>
          <w:rFonts w:cs="Times New Roman"/>
          <w:b w:val="0"/>
          <w:bCs w:val="0"/>
        </w:rPr>
        <w:t>第</w:t>
      </w:r>
      <w:r>
        <w:rPr>
          <w:rFonts w:hint="eastAsia" w:cs="Times New Roman"/>
          <w:b w:val="0"/>
          <w:bCs w:val="0"/>
        </w:rPr>
        <w:t>六</w:t>
      </w:r>
      <w:r>
        <w:rPr>
          <w:rFonts w:cs="Times New Roman"/>
          <w:b w:val="0"/>
          <w:bCs w:val="0"/>
        </w:rPr>
        <w:t>章</w:t>
      </w:r>
      <w:r>
        <w:rPr>
          <w:rFonts w:hint="eastAsia" w:cs="Times New Roman"/>
          <w:b w:val="0"/>
          <w:bCs w:val="0"/>
        </w:rPr>
        <w:t xml:space="preserve"> 筑牢安全可靠的城市交通发展防线</w:t>
      </w:r>
      <w:bookmarkEnd w:id="106"/>
      <w:bookmarkEnd w:id="107"/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108" w:name="_Toc226556369"/>
      <w:bookmarkStart w:id="109" w:name="_Toc228352993"/>
      <w:r>
        <w:rPr>
          <w:rFonts w:hint="eastAsia" w:ascii="Times New Roman" w:cs="Times New Roman"/>
          <w:szCs w:val="22"/>
        </w:rPr>
        <w:t>第一节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提升基础设施长效服役水平</w:t>
      </w:r>
      <w:bookmarkEnd w:id="108"/>
      <w:bookmarkEnd w:id="109"/>
    </w:p>
    <w:p>
      <w:pPr>
        <w:widowControl/>
        <w:ind w:firstLine="640"/>
        <w:rPr>
          <w:rFonts w:ascii="仿宋_GB2312" w:cs="Times New Roman"/>
        </w:rPr>
      </w:pPr>
      <w:r>
        <w:rPr>
          <w:rFonts w:hint="eastAsia" w:ascii="仿宋_GB2312" w:cs="Times New Roman"/>
        </w:rPr>
        <w:t>升级基础设施资产全周期性能评估与预警体系，提高交通基础设施气候防护能力。加快结构</w:t>
      </w:r>
      <w:r>
        <w:rPr>
          <w:rFonts w:ascii="仿宋_GB2312" w:cs="Times New Roman"/>
        </w:rPr>
        <w:t>-</w:t>
      </w:r>
      <w:r>
        <w:rPr>
          <w:rFonts w:hint="eastAsia" w:ascii="仿宋_GB2312" w:cs="Times New Roman"/>
        </w:rPr>
        <w:t>材料一体化的设施快修与性能增强技术研发。推进安全配套与主体工程同步规划、建设和运营，探索应用预知性运维养护技术，实现设施长寿命安全服役。深化城市级交通全要素感知平台建设，完善养护大数据体系，构建集</w:t>
      </w:r>
      <w:r>
        <w:rPr>
          <w:rFonts w:ascii="仿宋_GB2312" w:cs="Times New Roman"/>
        </w:rPr>
        <w:t>智能检测监测、养护科学决策</w:t>
      </w:r>
      <w:r>
        <w:rPr>
          <w:rFonts w:hint="eastAsia" w:ascii="仿宋_GB2312" w:cs="Times New Roman"/>
        </w:rPr>
        <w:t>于一体的设施管理</w:t>
      </w:r>
      <w:r>
        <w:rPr>
          <w:rFonts w:ascii="仿宋_GB2312" w:cs="Times New Roman"/>
        </w:rPr>
        <w:t>综合平台</w:t>
      </w:r>
      <w:r>
        <w:rPr>
          <w:rFonts w:hint="eastAsia" w:ascii="仿宋_GB2312" w:cs="Times New Roman"/>
        </w:rPr>
        <w:t>。加大交通走廊沿线地下管网更新改造力度，提升管网管线智慧化监测管理水平。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110" w:name="_Toc228352994"/>
      <w:bookmarkStart w:id="111" w:name="_Toc226556370"/>
      <w:r>
        <w:rPr>
          <w:rFonts w:hint="eastAsia" w:ascii="Times New Roman" w:cs="Times New Roman"/>
          <w:szCs w:val="22"/>
        </w:rPr>
        <w:t>第二节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完善应急保障能力与储备体系</w:t>
      </w:r>
      <w:bookmarkEnd w:id="110"/>
      <w:bookmarkEnd w:id="111"/>
    </w:p>
    <w:p>
      <w:pPr>
        <w:widowControl/>
        <w:ind w:firstLine="640"/>
        <w:rPr>
          <w:rFonts w:ascii="仿宋_GB2312" w:cs="Times New Roman"/>
        </w:rPr>
      </w:pPr>
      <w:r>
        <w:rPr>
          <w:rFonts w:hint="eastAsia" w:ascii="仿宋_GB2312" w:cs="Times New Roman"/>
        </w:rPr>
        <w:t>稳步推进交通领域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hint="eastAsia" w:ascii="仿宋_GB2312" w:cs="Times New Roman"/>
        </w:rPr>
        <w:t>平急两用”公共基础设施建设，构建总量充足、布局合理的应急避难场所体系，</w:t>
      </w:r>
      <w:r>
        <w:rPr>
          <w:rFonts w:ascii="仿宋_GB2312" w:cs="Times New Roman"/>
        </w:rPr>
        <w:t>提高国防交通平时服务、急时应急、战时应战的能力</w:t>
      </w:r>
      <w:r>
        <w:rPr>
          <w:rFonts w:hint="eastAsia" w:ascii="仿宋_GB2312" w:cs="Times New Roman"/>
        </w:rPr>
        <w:t>。依托三级物流枢纽弹性预留应急物资储备与配送空间，完善空间设置标准和平急转换机制，形成市</w:t>
      </w:r>
      <w:r>
        <w:rPr>
          <w:rFonts w:ascii="仿宋_GB2312" w:cs="Times New Roman"/>
        </w:rPr>
        <w:t>-</w:t>
      </w:r>
      <w:r>
        <w:rPr>
          <w:rFonts w:hint="eastAsia" w:ascii="仿宋_GB2312" w:cs="Times New Roman"/>
        </w:rPr>
        <w:t>区</w:t>
      </w:r>
      <w:r>
        <w:rPr>
          <w:rFonts w:ascii="仿宋_GB2312" w:cs="Times New Roman"/>
        </w:rPr>
        <w:t>-</w:t>
      </w:r>
      <w:r>
        <w:rPr>
          <w:rFonts w:hint="eastAsia" w:ascii="仿宋_GB2312" w:cs="Times New Roman"/>
        </w:rPr>
        <w:t>街道三级应急物资储备网络。构建覆盖全域、全灾种的交通应急预案体系，科学制定交通领域巨灾应急预案，强化人工智能等技术在极端天气预报预警预案中的应用，提高交通系统风险预警能力。健全综合交通应急指挥协同机制，强化突发事件全流程的快速指挥与辅助决策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112" w:name="_Toc228352995"/>
      <w:bookmarkStart w:id="113" w:name="_Toc226556371"/>
      <w:r>
        <w:rPr>
          <w:rFonts w:hint="eastAsia" w:ascii="Times New Roman" w:cs="Times New Roman"/>
          <w:szCs w:val="22"/>
        </w:rPr>
        <w:t>第三节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强化交通运输行业安全治理</w:t>
      </w:r>
      <w:bookmarkEnd w:id="112"/>
      <w:bookmarkEnd w:id="113"/>
    </w:p>
    <w:p>
      <w:pPr>
        <w:widowControl/>
        <w:ind w:firstLine="640"/>
        <w:rPr>
          <w:rFonts w:ascii="仿宋_GB2312" w:cs="Times New Roman"/>
        </w:rPr>
      </w:pPr>
      <w:r>
        <w:rPr>
          <w:rFonts w:hint="eastAsia" w:ascii="仿宋_GB2312" w:cs="Times New Roman"/>
        </w:rPr>
        <w:t>构建交通运输行业安全风险谱系，完善安全感知体系与预警网络。强化道路交通、地下工程、电动自行车、港口船舶等重点领域和大型活动、重点场所安全监管，建立全链条安全监管机制，推动重大事故隐患动态清零。搭建桥梁、隧道及边坡等关键设施健康监测体系，构建“实时感知—自动预警—安全评估—智能决策”闭环管理机制。推动安全生产监管模式向事前预防转型，深化人工智能等技术在营运车船安全监管、交通设施防洪排涝等领域融合应用。完善交通运输行业安全责任保险制度，提升行业风险分担和灾后恢复能力。到2030年，道路交通死亡率控制在0.33人/万车以内，重大桥隧边坡智慧监测设施覆盖率达100%。</w:t>
      </w:r>
    </w:p>
    <w:p>
      <w:pPr>
        <w:ind w:firstLine="640"/>
        <w:rPr>
          <w:rFonts w:ascii="仿宋_GB2312"/>
        </w:rPr>
        <w:sectPr>
          <w:footnotePr>
            <w:numRestart w:val="eachPage"/>
          </w:footnotePr>
          <w:pgSz w:w="11906" w:h="16838"/>
          <w:pgMar w:top="1440" w:right="1587" w:bottom="1440" w:left="1587" w:header="794" w:footer="992" w:gutter="0"/>
          <w:cols w:space="425" w:num="1"/>
          <w:docGrid w:type="lines" w:linePitch="435" w:charSpace="0"/>
        </w:sectPr>
      </w:pPr>
    </w:p>
    <w:p>
      <w:pPr>
        <w:pStyle w:val="3"/>
        <w:numPr>
          <w:ilvl w:val="0"/>
          <w:numId w:val="0"/>
        </w:numPr>
        <w:rPr>
          <w:rFonts w:cs="Times New Roman"/>
          <w:b w:val="0"/>
          <w:bCs w:val="0"/>
        </w:rPr>
      </w:pPr>
      <w:bookmarkStart w:id="114" w:name="_Toc226556372"/>
      <w:bookmarkStart w:id="115" w:name="_Toc228352996"/>
      <w:r>
        <w:rPr>
          <w:rFonts w:cs="Times New Roman"/>
          <w:b w:val="0"/>
          <w:bCs w:val="0"/>
        </w:rPr>
        <w:t>第</w:t>
      </w:r>
      <w:r>
        <w:rPr>
          <w:rFonts w:hint="eastAsia" w:cs="Times New Roman"/>
          <w:b w:val="0"/>
          <w:bCs w:val="0"/>
        </w:rPr>
        <w:t>七</w:t>
      </w:r>
      <w:r>
        <w:rPr>
          <w:rFonts w:cs="Times New Roman"/>
          <w:b w:val="0"/>
          <w:bCs w:val="0"/>
        </w:rPr>
        <w:t>章</w:t>
      </w:r>
      <w:r>
        <w:rPr>
          <w:rFonts w:hint="eastAsia" w:cs="Times New Roman"/>
          <w:b w:val="0"/>
          <w:bCs w:val="0"/>
        </w:rPr>
        <w:t xml:space="preserve"> </w:t>
      </w:r>
      <w:bookmarkEnd w:id="85"/>
      <w:r>
        <w:rPr>
          <w:rFonts w:hint="eastAsia" w:cs="Times New Roman"/>
          <w:b w:val="0"/>
          <w:bCs w:val="0"/>
        </w:rPr>
        <w:t>打造数智赋能的智慧交通先行示范高地</w:t>
      </w:r>
      <w:bookmarkEnd w:id="114"/>
      <w:bookmarkEnd w:id="115"/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116" w:name="_Toc223982530"/>
      <w:bookmarkStart w:id="117" w:name="_Toc226556373"/>
      <w:bookmarkStart w:id="118" w:name="_Toc228352997"/>
      <w:bookmarkStart w:id="119" w:name="_Toc223982528"/>
      <w:r>
        <w:rPr>
          <w:rFonts w:hint="eastAsia" w:ascii="Times New Roman" w:cs="Times New Roman"/>
          <w:szCs w:val="22"/>
        </w:rPr>
        <w:t>第一节</w:t>
      </w:r>
      <w:r>
        <w:rPr>
          <w:rFonts w:ascii="Times New Roman" w:cs="Times New Roman"/>
          <w:szCs w:val="22"/>
        </w:rPr>
        <w:t xml:space="preserve"> </w:t>
      </w:r>
      <w:bookmarkEnd w:id="116"/>
      <w:r>
        <w:rPr>
          <w:rFonts w:hint="eastAsia" w:ascii="Times New Roman" w:cs="Times New Roman"/>
          <w:szCs w:val="22"/>
        </w:rPr>
        <w:t>培育壮大低空经济新业态新模式</w:t>
      </w:r>
      <w:bookmarkEnd w:id="117"/>
      <w:bookmarkEnd w:id="118"/>
    </w:p>
    <w:p>
      <w:pPr>
        <w:spacing w:line="550" w:lineRule="exact"/>
        <w:ind w:firstLine="640"/>
        <w:jc w:val="left"/>
      </w:pPr>
      <w:r>
        <w:rPr>
          <w:rFonts w:hint="eastAsia"/>
        </w:rPr>
        <w:t>加快低空“一试点四中心”</w:t>
      </w:r>
      <w:r>
        <w:rPr>
          <w:rStyle w:val="24"/>
          <w:rFonts w:ascii="仿宋_GB2312" w:hAnsi="仿宋" w:cs="Songti SC"/>
          <w:bCs/>
        </w:rPr>
        <w:footnoteReference w:id="7"/>
      </w:r>
      <w:r>
        <w:rPr>
          <w:rFonts w:hint="eastAsia"/>
        </w:rPr>
        <w:t>建设。加快低空智能融合基础设施及各类低空起降设施建设，推动低空智能融合系统尽快上线。构建应急消防、物流配送、医疗冷链等多元化低空应用场景</w:t>
      </w:r>
      <w:r>
        <w:rPr>
          <w:rFonts w:hint="eastAsia" w:ascii="仿宋_GB2312" w:cs="Times New Roman"/>
        </w:rPr>
        <w:t>，</w:t>
      </w:r>
      <w:r>
        <w:rPr>
          <w:rFonts w:ascii="仿宋_GB2312" w:cs="Times New Roman"/>
        </w:rPr>
        <w:t>稳步开通市内</w:t>
      </w:r>
      <w:r>
        <w:rPr>
          <w:rFonts w:hint="eastAsia" w:ascii="仿宋_GB2312" w:cs="Times New Roman"/>
        </w:rPr>
        <w:t>及</w:t>
      </w:r>
      <w:r>
        <w:rPr>
          <w:rFonts w:ascii="仿宋_GB2312" w:cs="Times New Roman"/>
        </w:rPr>
        <w:t>城际载人航线，推动eVTOL商业试运行</w:t>
      </w:r>
      <w:r>
        <w:rPr>
          <w:rFonts w:hint="eastAsia" w:ascii="仿宋_GB2312" w:cs="Times New Roman"/>
        </w:rPr>
        <w:t>，</w:t>
      </w:r>
      <w:r>
        <w:rPr>
          <w:rFonts w:ascii="仿宋_GB2312" w:cs="Times New Roman"/>
        </w:rPr>
        <w:t>开展跨境低空应用试点。</w:t>
      </w:r>
      <w:r>
        <w:rPr>
          <w:rFonts w:hint="eastAsia" w:ascii="仿宋_GB2312" w:cs="Times New Roman"/>
        </w:rPr>
        <w:t>协调</w:t>
      </w:r>
      <w:r>
        <w:rPr>
          <w:rFonts w:ascii="仿宋_GB2312" w:cs="Times New Roman"/>
        </w:rPr>
        <w:t>扩大</w:t>
      </w:r>
      <w:r>
        <w:rPr>
          <w:rFonts w:hint="eastAsia" w:ascii="仿宋_GB2312" w:cs="Times New Roman"/>
        </w:rPr>
        <w:t>低空</w:t>
      </w:r>
      <w:r>
        <w:rPr>
          <w:rFonts w:ascii="仿宋_GB2312" w:cs="Times New Roman"/>
        </w:rPr>
        <w:t>空域资源供给</w:t>
      </w:r>
      <w:r>
        <w:rPr>
          <w:rFonts w:hint="eastAsia" w:ascii="仿宋_GB2312" w:cs="Times New Roman"/>
        </w:rPr>
        <w:t>，</w:t>
      </w:r>
      <w:r>
        <w:rPr>
          <w:rFonts w:ascii="仿宋_GB2312" w:cs="Times New Roman"/>
        </w:rPr>
        <w:t>规划低空公共航路网络</w:t>
      </w:r>
      <w:r>
        <w:rPr>
          <w:rFonts w:hint="eastAsia" w:ascii="仿宋_GB2312" w:cs="Times New Roman"/>
        </w:rPr>
        <w:t>，健全军地民低空空域协同管理机制，探索低空空域跨区协同治理</w:t>
      </w:r>
      <w:r>
        <w:rPr>
          <w:rFonts w:ascii="仿宋_GB2312" w:cs="Times New Roman"/>
        </w:rPr>
        <w:t>。</w:t>
      </w:r>
      <w:r>
        <w:rPr>
          <w:rFonts w:hint="eastAsia" w:ascii="仿宋_GB2312" w:cs="Times New Roman"/>
        </w:rPr>
        <w:t>到</w:t>
      </w:r>
      <w:r>
        <w:rPr>
          <w:rFonts w:ascii="仿宋_GB2312" w:cs="Times New Roman"/>
        </w:rPr>
        <w:t>2030</w:t>
      </w:r>
      <w:r>
        <w:rPr>
          <w:rFonts w:hint="eastAsia" w:ascii="仿宋_GB2312" w:cs="Times New Roman"/>
        </w:rPr>
        <w:t>年，低空起降设施超</w:t>
      </w:r>
      <w:r>
        <w:rPr>
          <w:rFonts w:ascii="仿宋_GB2312" w:cs="Times New Roman"/>
        </w:rPr>
        <w:t>2200</w:t>
      </w:r>
      <w:r>
        <w:rPr>
          <w:rFonts w:hint="eastAsia" w:ascii="仿宋_GB2312" w:cs="Times New Roman"/>
        </w:rPr>
        <w:t>个，低空经济产业增加值达460亿元，无人机载货飞行规模超200万架次。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120" w:name="_Toc223982532"/>
      <w:bookmarkStart w:id="121" w:name="_Toc226556374"/>
      <w:bookmarkStart w:id="122" w:name="_Toc228352998"/>
      <w:r>
        <w:rPr>
          <w:rFonts w:hint="eastAsia" w:ascii="Times New Roman" w:cs="Times New Roman"/>
          <w:szCs w:val="22"/>
        </w:rPr>
        <w:t>第二节</w:t>
      </w:r>
      <w:r>
        <w:rPr>
          <w:rFonts w:ascii="Times New Roman" w:cs="Times New Roman"/>
          <w:szCs w:val="22"/>
        </w:rPr>
        <w:t xml:space="preserve"> </w:t>
      </w:r>
      <w:bookmarkEnd w:id="120"/>
      <w:r>
        <w:rPr>
          <w:rFonts w:hint="eastAsia" w:ascii="Times New Roman" w:cs="Times New Roman"/>
          <w:szCs w:val="22"/>
        </w:rPr>
        <w:t>推进智能网联汽车高质量创新应用</w:t>
      </w:r>
      <w:bookmarkEnd w:id="121"/>
      <w:bookmarkEnd w:id="122"/>
    </w:p>
    <w:p>
      <w:pPr>
        <w:ind w:firstLine="640"/>
        <w:rPr>
          <w:rFonts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>完善智能网联汽车产业生态与服务支撑，</w:t>
      </w:r>
      <w:r>
        <w:rPr>
          <w:rFonts w:hint="eastAsia"/>
        </w:rPr>
        <w:t>建设具备“人工智能+”调度、运营及安全等功能的智能网联汽车监管平台二期项目。</w:t>
      </w:r>
      <w:r>
        <w:t>坚持</w:t>
      </w:r>
      <w:r>
        <w:rPr>
          <w:rFonts w:hint="eastAsia"/>
        </w:rPr>
        <w:t>“</w:t>
      </w:r>
      <w:r>
        <w:t>先货运再客运、先营运再私人、先外围再核心</w:t>
      </w:r>
      <w:r>
        <w:rPr>
          <w:rFonts w:hint="eastAsia"/>
        </w:rPr>
        <w:t>”</w:t>
      </w:r>
      <w:r>
        <w:t>的分步推进策略，依托真实交通场景开展规模化测试与融合运营</w:t>
      </w:r>
      <w:r>
        <w:rPr>
          <w:rFonts w:hint="eastAsia"/>
        </w:rPr>
        <w:t>。</w:t>
      </w:r>
      <w:r>
        <w:rPr>
          <w:rFonts w:hint="eastAsia" w:ascii="仿宋_GB2312" w:cs="Times New Roman"/>
          <w:szCs w:val="32"/>
        </w:rPr>
        <w:t>推动辅助驾驶（L2级）在城市公交、出租、网约等车辆率先应用，开展有条件自动驾驶（L3级）上路通行试点，引导高度自动驾驶（L4级）企业与交通运输、物流平台等主体深化合作。推动自动驾驶车辆与新型基础设施融合发展，开展道路设施的适应性改造示范。加快功能型无人车立法研究与标准建设，推广无人物流等场景应用。</w:t>
      </w:r>
      <w:r>
        <w:rPr>
          <w:rFonts w:ascii="仿宋_GB2312" w:cs="Times New Roman"/>
          <w:szCs w:val="32"/>
        </w:rPr>
        <w:t>加快建立智能网联汽车地方性准入和登记管理、道路运输经营和安全管理制度。</w:t>
      </w:r>
      <w:r>
        <w:rPr>
          <w:rFonts w:hint="eastAsia" w:ascii="仿宋_GB2312" w:cs="Times New Roman"/>
          <w:szCs w:val="32"/>
        </w:rPr>
        <w:t>到2030年，智能网联产业集群增加值达2000亿元，开放道路里程超6000公里，各类自动驾驶运营车辆规模超1万辆。</w:t>
      </w:r>
    </w:p>
    <w:bookmarkEnd w:id="119"/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123" w:name="_Toc223982529"/>
      <w:bookmarkStart w:id="124" w:name="_Toc228352999"/>
      <w:bookmarkStart w:id="125" w:name="_Toc226556375"/>
      <w:r>
        <w:rPr>
          <w:rFonts w:hint="eastAsia" w:ascii="Times New Roman" w:cs="Times New Roman"/>
          <w:szCs w:val="22"/>
        </w:rPr>
        <w:t>第三节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赋能城市客货运与</w:t>
      </w:r>
      <w:bookmarkEnd w:id="123"/>
      <w:r>
        <w:rPr>
          <w:rFonts w:hint="eastAsia" w:ascii="Times New Roman" w:cs="Times New Roman"/>
          <w:szCs w:val="22"/>
        </w:rPr>
        <w:t>精细化交通治理</w:t>
      </w:r>
      <w:bookmarkEnd w:id="124"/>
      <w:bookmarkEnd w:id="125"/>
    </w:p>
    <w:p>
      <w:pPr>
        <w:ind w:firstLine="640"/>
        <w:rPr>
          <w:rFonts w:ascii="仿宋_GB2312"/>
          <w:szCs w:val="32"/>
        </w:rPr>
      </w:pPr>
      <w:r>
        <w:rPr>
          <w:rFonts w:hint="eastAsia" w:ascii="仿宋_GB2312" w:cs="Times New Roman"/>
          <w:szCs w:val="32"/>
        </w:rPr>
        <w:t>持续推动枢纽运输效率升级，引入数字化导航与智能协同手段，</w:t>
      </w:r>
      <w:r>
        <w:rPr>
          <w:rFonts w:ascii="仿宋_GB2312" w:cs="Times New Roman"/>
          <w:szCs w:val="32"/>
        </w:rPr>
        <w:t>释放</w:t>
      </w:r>
      <w:r>
        <w:rPr>
          <w:rFonts w:hint="eastAsia" w:ascii="仿宋_GB2312" w:cs="Times New Roman"/>
          <w:szCs w:val="32"/>
        </w:rPr>
        <w:t>深圳机场</w:t>
      </w:r>
      <w:r>
        <w:rPr>
          <w:rFonts w:ascii="仿宋_GB2312" w:cs="Times New Roman"/>
          <w:szCs w:val="32"/>
        </w:rPr>
        <w:t>三跑道潜能</w:t>
      </w:r>
      <w:r>
        <w:rPr>
          <w:rFonts w:hint="eastAsia" w:ascii="仿宋_GB2312" w:cs="Times New Roman"/>
          <w:szCs w:val="32"/>
        </w:rPr>
        <w:t>。</w:t>
      </w:r>
      <w:r>
        <w:rPr>
          <w:rFonts w:ascii="仿宋_GB2312" w:cs="Times New Roman"/>
          <w:szCs w:val="32"/>
        </w:rPr>
        <w:t>加快智慧港口建设与老旧码头转型，构建数字航运服务体系。</w:t>
      </w:r>
      <w:r>
        <w:rPr>
          <w:rFonts w:hint="eastAsia" w:ascii="仿宋_GB2312" w:cs="Times New Roman"/>
          <w:szCs w:val="32"/>
        </w:rPr>
        <w:t>加快</w:t>
      </w:r>
      <w:r>
        <w:rPr>
          <w:rFonts w:ascii="仿宋_GB2312" w:cs="Times New Roman"/>
          <w:szCs w:val="32"/>
        </w:rPr>
        <w:t>建设全市统一的智慧仓储监测平台，</w:t>
      </w:r>
      <w:r>
        <w:rPr>
          <w:rFonts w:hint="eastAsia" w:ascii="仿宋_GB2312" w:cs="Times New Roman"/>
          <w:szCs w:val="32"/>
        </w:rPr>
        <w:t>推动</w:t>
      </w:r>
      <w:r>
        <w:rPr>
          <w:rFonts w:ascii="仿宋_GB2312" w:cs="Times New Roman"/>
          <w:szCs w:val="32"/>
        </w:rPr>
        <w:t>无人配送在快递</w:t>
      </w:r>
      <w:r>
        <w:rPr>
          <w:rFonts w:hint="eastAsia" w:ascii="仿宋_GB2312" w:cs="Times New Roman"/>
          <w:szCs w:val="32"/>
        </w:rPr>
        <w:t>配送</w:t>
      </w:r>
      <w:r>
        <w:rPr>
          <w:rFonts w:ascii="仿宋_GB2312" w:cs="Times New Roman"/>
          <w:szCs w:val="32"/>
        </w:rPr>
        <w:t>与园区物流场景落地。积极</w:t>
      </w:r>
      <w:r>
        <w:rPr>
          <w:rFonts w:hint="eastAsia" w:ascii="仿宋_GB2312" w:cs="Times New Roman"/>
          <w:szCs w:val="32"/>
        </w:rPr>
        <w:t>推动</w:t>
      </w:r>
      <w:r>
        <w:rPr>
          <w:rFonts w:ascii="仿宋_GB2312" w:cs="Times New Roman"/>
          <w:szCs w:val="32"/>
        </w:rPr>
        <w:t>人工智能等先进技术</w:t>
      </w:r>
      <w:r>
        <w:rPr>
          <w:rFonts w:hint="eastAsia" w:ascii="仿宋_GB2312" w:cs="Times New Roman"/>
          <w:szCs w:val="32"/>
        </w:rPr>
        <w:t>的深度应用，向人工智能企业开放交通基础设施与应用场景。打造全场景智慧化出行体验，</w:t>
      </w:r>
      <w:r>
        <w:rPr>
          <w:rFonts w:ascii="仿宋_GB2312" w:cs="Times New Roman"/>
          <w:szCs w:val="32"/>
        </w:rPr>
        <w:t>积极开展轨道、公交、出租及网约车多方式协同服务示范，推动停车场</w:t>
      </w:r>
      <w:r>
        <w:rPr>
          <w:rFonts w:hint="eastAsia" w:ascii="仿宋_GB2312" w:cs="Times New Roman"/>
          <w:szCs w:val="32"/>
        </w:rPr>
        <w:t>自主泊车应用</w:t>
      </w:r>
      <w:r>
        <w:rPr>
          <w:rFonts w:ascii="仿宋_GB2312" w:cs="Times New Roman"/>
          <w:szCs w:val="32"/>
        </w:rPr>
        <w:t>。完善交通管控服务一体化平台，深化</w:t>
      </w:r>
      <w:r>
        <w:rPr>
          <w:rFonts w:hint="eastAsia" w:ascii="仿宋_GB2312" w:cs="Times New Roman"/>
          <w:szCs w:val="32"/>
        </w:rPr>
        <w:t>人工智能</w:t>
      </w:r>
      <w:r>
        <w:rPr>
          <w:rFonts w:ascii="仿宋_GB2312" w:cs="Times New Roman"/>
          <w:szCs w:val="32"/>
        </w:rPr>
        <w:t>在交通信号管控中的应用</w:t>
      </w:r>
      <w:r>
        <w:rPr>
          <w:rFonts w:hint="eastAsia" w:ascii="仿宋_GB2312" w:cs="Times New Roman"/>
          <w:szCs w:val="32"/>
        </w:rPr>
        <w:t>，</w:t>
      </w:r>
      <w:r>
        <w:rPr>
          <w:rFonts w:ascii="仿宋_GB2312" w:cs="Times New Roman"/>
          <w:szCs w:val="32"/>
        </w:rPr>
        <w:t>强化</w:t>
      </w:r>
      <w:r>
        <w:rPr>
          <w:rFonts w:hint="eastAsia" w:ascii="仿宋_GB2312" w:cs="Times New Roman"/>
          <w:szCs w:val="32"/>
        </w:rPr>
        <w:t>交通</w:t>
      </w:r>
      <w:r>
        <w:rPr>
          <w:rFonts w:ascii="仿宋_GB2312" w:cs="Times New Roman"/>
          <w:szCs w:val="32"/>
        </w:rPr>
        <w:t>违规行为自动识别与非现场执法能力。依托无人机提升交通治理效能与资源配置效率</w:t>
      </w:r>
      <w:r>
        <w:rPr>
          <w:rFonts w:hint="eastAsia" w:ascii="仿宋_GB2312" w:cs="Times New Roman"/>
          <w:szCs w:val="32"/>
        </w:rPr>
        <w:t>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126" w:name="_Toc228353000"/>
      <w:bookmarkStart w:id="127" w:name="_Toc226556376"/>
      <w:r>
        <w:rPr>
          <w:rFonts w:hint="eastAsia" w:ascii="Times New Roman" w:cs="Times New Roman"/>
          <w:szCs w:val="22"/>
        </w:rPr>
        <w:t>第四节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夯实支撑全域应用的数字交通底座</w:t>
      </w:r>
      <w:bookmarkEnd w:id="126"/>
      <w:bookmarkEnd w:id="127"/>
    </w:p>
    <w:p>
      <w:pPr>
        <w:ind w:firstLine="640"/>
        <w:rPr>
          <w:rFonts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>打造全域物联感知示范标杆，统筹布局</w:t>
      </w:r>
      <w:r>
        <w:rPr>
          <w:rFonts w:ascii="仿宋_GB2312" w:cs="Times New Roman"/>
          <w:szCs w:val="32"/>
        </w:rPr>
        <w:t>智能监测、雷视融合</w:t>
      </w:r>
      <w:r>
        <w:rPr>
          <w:rFonts w:hint="eastAsia" w:ascii="仿宋_GB2312" w:hAnsi="仿宋_GB2312" w:cs="仿宋_GB2312"/>
          <w:szCs w:val="32"/>
        </w:rPr>
        <w:t>等智能设备</w:t>
      </w:r>
      <w:r>
        <w:rPr>
          <w:rFonts w:hint="eastAsia" w:ascii="仿宋_GB2312" w:cs="Times New Roman"/>
          <w:szCs w:val="32"/>
        </w:rPr>
        <w:t>。构建城市级交通数据底座，建设CIM+BIM仿真平台，建立交通数据资产台账。深化交通数据创新应用，提升运力</w:t>
      </w:r>
      <w:r>
        <w:rPr>
          <w:rFonts w:ascii="仿宋_GB2312" w:cs="Times New Roman"/>
          <w:szCs w:val="32"/>
        </w:rPr>
        <w:t>统筹调配</w:t>
      </w:r>
      <w:r>
        <w:rPr>
          <w:rFonts w:hint="eastAsia" w:ascii="仿宋_GB2312" w:cs="Times New Roman"/>
          <w:szCs w:val="32"/>
        </w:rPr>
        <w:t>和错峰出行引导能力。面向智能网联、低空经济、具身智能等产业集群探索建设特色数据集。探索共建大湾区交通数据共享交换平台，在重大互联通道监管、跨市运输等场景开展协同试点。</w:t>
      </w:r>
    </w:p>
    <w:p>
      <w:pPr>
        <w:pStyle w:val="3"/>
        <w:numPr>
          <w:ilvl w:val="0"/>
          <w:numId w:val="0"/>
        </w:numPr>
        <w:rPr>
          <w:rFonts w:ascii="仿宋_GB2312" w:cs="Times New Roman"/>
          <w:b w:val="0"/>
          <w:bCs w:val="0"/>
        </w:rPr>
        <w:sectPr>
          <w:type w:val="continuous"/>
          <w:pgSz w:w="11906" w:h="16838"/>
          <w:pgMar w:top="1440" w:right="1800" w:bottom="1440" w:left="1800" w:header="794" w:footer="992" w:gutter="0"/>
          <w:cols w:space="425" w:num="1"/>
          <w:docGrid w:type="lines" w:linePitch="435" w:charSpace="0"/>
        </w:sectPr>
      </w:pPr>
      <w:bookmarkStart w:id="128" w:name="_Toc223982546"/>
    </w:p>
    <w:p>
      <w:pPr>
        <w:pStyle w:val="3"/>
        <w:numPr>
          <w:ilvl w:val="0"/>
          <w:numId w:val="0"/>
        </w:numPr>
        <w:rPr>
          <w:rFonts w:cs="Times New Roman"/>
          <w:b w:val="0"/>
          <w:bCs w:val="0"/>
        </w:rPr>
      </w:pPr>
      <w:bookmarkStart w:id="129" w:name="_Toc228353001"/>
      <w:bookmarkStart w:id="130" w:name="_Toc226556377"/>
      <w:r>
        <w:rPr>
          <w:rFonts w:cs="Times New Roman"/>
          <w:b w:val="0"/>
          <w:bCs w:val="0"/>
        </w:rPr>
        <w:t>第</w:t>
      </w:r>
      <w:r>
        <w:rPr>
          <w:rFonts w:hint="eastAsia" w:cs="Times New Roman"/>
          <w:b w:val="0"/>
          <w:bCs w:val="0"/>
        </w:rPr>
        <w:t>八</w:t>
      </w:r>
      <w:r>
        <w:rPr>
          <w:rFonts w:cs="Times New Roman"/>
          <w:b w:val="0"/>
          <w:bCs w:val="0"/>
        </w:rPr>
        <w:t xml:space="preserve">章 </w:t>
      </w:r>
      <w:bookmarkEnd w:id="128"/>
      <w:r>
        <w:rPr>
          <w:rFonts w:hint="eastAsia" w:cs="Times New Roman"/>
          <w:b w:val="0"/>
          <w:bCs w:val="0"/>
        </w:rPr>
        <w:t>构建绿色低碳的可持续交通体系</w:t>
      </w:r>
      <w:bookmarkEnd w:id="129"/>
      <w:bookmarkEnd w:id="130"/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131" w:name="_Toc228353002"/>
      <w:bookmarkStart w:id="132" w:name="_Toc226556378"/>
      <w:bookmarkStart w:id="133" w:name="_Toc216786898"/>
      <w:bookmarkStart w:id="134" w:name="_Toc218073864"/>
      <w:bookmarkStart w:id="135" w:name="_Toc11407"/>
      <w:r>
        <w:rPr>
          <w:rFonts w:hint="eastAsia" w:ascii="Times New Roman" w:cs="Times New Roman"/>
          <w:szCs w:val="22"/>
        </w:rPr>
        <w:t>第一节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推进运输服务结构优化</w:t>
      </w:r>
      <w:bookmarkEnd w:id="131"/>
      <w:bookmarkEnd w:id="132"/>
    </w:p>
    <w:p>
      <w:pPr>
        <w:ind w:firstLine="640"/>
        <w:rPr>
          <w:rFonts w:ascii="仿宋_GB2312" w:cs="Times New Roman"/>
          <w:szCs w:val="32"/>
        </w:rPr>
      </w:pPr>
      <w:r>
        <w:rPr>
          <w:rFonts w:ascii="仿宋_GB2312" w:cs="Times New Roman"/>
          <w:szCs w:val="32"/>
        </w:rPr>
        <w:t>大力发展海铁联运与水水中转，鼓励共同配送、集中配送与夜间配送等高效运输组织模式</w:t>
      </w:r>
      <w:r>
        <w:rPr>
          <w:rFonts w:hint="eastAsia" w:ascii="仿宋_GB2312" w:cs="Times New Roman"/>
          <w:szCs w:val="32"/>
        </w:rPr>
        <w:t>。</w:t>
      </w:r>
      <w:r>
        <w:rPr>
          <w:rFonts w:ascii="仿宋_GB2312" w:cs="Times New Roman"/>
          <w:szCs w:val="32"/>
        </w:rPr>
        <w:t>健全MaaS绿色出行碳普惠机制，引导个体机动化出行向集约化公共交通转移，到2030年绿色出行分担率保持在80%以上。优化保税LNG加注流程，</w:t>
      </w:r>
      <w:r>
        <w:rPr>
          <w:rFonts w:hint="eastAsia" w:ascii="仿宋_GB2312" w:cs="Times New Roman"/>
          <w:szCs w:val="32"/>
        </w:rPr>
        <w:t>研究</w:t>
      </w:r>
      <w:r>
        <w:rPr>
          <w:rFonts w:ascii="仿宋_GB2312" w:cs="Times New Roman"/>
          <w:szCs w:val="32"/>
        </w:rPr>
        <w:t>先供后报</w:t>
      </w:r>
      <w:r>
        <w:rPr>
          <w:rFonts w:hint="eastAsia" w:ascii="仿宋_GB2312" w:cs="Times New Roman"/>
          <w:szCs w:val="32"/>
        </w:rPr>
        <w:t>、</w:t>
      </w:r>
      <w:r>
        <w:rPr>
          <w:rFonts w:ascii="仿宋_GB2312" w:cs="Times New Roman"/>
          <w:szCs w:val="32"/>
        </w:rPr>
        <w:t>一船多供、边联检边搭靠等便利化</w:t>
      </w:r>
      <w:r>
        <w:rPr>
          <w:rFonts w:hint="eastAsia" w:ascii="仿宋_GB2312" w:cs="Times New Roman"/>
          <w:szCs w:val="32"/>
        </w:rPr>
        <w:t>举措</w:t>
      </w:r>
      <w:r>
        <w:rPr>
          <w:rFonts w:ascii="仿宋_GB2312" w:cs="Times New Roman"/>
          <w:szCs w:val="32"/>
        </w:rPr>
        <w:t>。扩大国际船舶保税液化天然气加注规模，</w:t>
      </w:r>
      <w:r>
        <w:rPr>
          <w:rFonts w:hint="eastAsia" w:ascii="仿宋_GB2312" w:cs="Times New Roman"/>
          <w:szCs w:val="32"/>
        </w:rPr>
        <w:t>深化推动绿色甲醇燃料加注业务，积极争取可持续航空燃料试点。</w:t>
      </w:r>
      <w:r>
        <w:rPr>
          <w:rFonts w:ascii="仿宋_GB2312" w:cs="Times New Roman"/>
          <w:szCs w:val="32"/>
        </w:rPr>
        <w:t>加强交通噪声污染控制，强化轨道减振降噪与低空飞行噪声监管</w:t>
      </w:r>
      <w:r>
        <w:rPr>
          <w:rFonts w:hint="eastAsia" w:ascii="仿宋_GB2312" w:cs="Times New Roman"/>
          <w:szCs w:val="32"/>
        </w:rPr>
        <w:t>。</w:t>
      </w:r>
      <w:r>
        <w:rPr>
          <w:rFonts w:ascii="仿宋_GB2312" w:cs="Times New Roman"/>
          <w:szCs w:val="32"/>
        </w:rPr>
        <w:t>统筹车船污染治理，健全船舶污染物闭环管理</w:t>
      </w:r>
      <w:r>
        <w:rPr>
          <w:rFonts w:hint="eastAsia" w:ascii="仿宋_GB2312" w:cs="Times New Roman"/>
          <w:szCs w:val="32"/>
        </w:rPr>
        <w:t>，完善</w:t>
      </w:r>
      <w:r>
        <w:rPr>
          <w:rFonts w:ascii="仿宋_GB2312" w:cs="Times New Roman"/>
          <w:szCs w:val="32"/>
        </w:rPr>
        <w:t>港区及物流园区机动车尾气监测。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136" w:name="_Toc226556379"/>
      <w:bookmarkStart w:id="137" w:name="_Toc228353003"/>
      <w:r>
        <w:rPr>
          <w:rFonts w:hint="eastAsia" w:ascii="Times New Roman" w:cs="Times New Roman"/>
          <w:szCs w:val="22"/>
        </w:rPr>
        <w:t>第二节</w:t>
      </w:r>
      <w:r>
        <w:rPr>
          <w:rFonts w:ascii="Times New Roman" w:cs="Times New Roman"/>
          <w:szCs w:val="22"/>
        </w:rPr>
        <w:t xml:space="preserve"> </w:t>
      </w:r>
      <w:bookmarkEnd w:id="133"/>
      <w:bookmarkEnd w:id="134"/>
      <w:bookmarkEnd w:id="135"/>
      <w:r>
        <w:rPr>
          <w:rFonts w:hint="eastAsia" w:ascii="Times New Roman" w:cs="Times New Roman"/>
          <w:szCs w:val="22"/>
        </w:rPr>
        <w:t>推进交通设施绿色转型</w:t>
      </w:r>
      <w:bookmarkEnd w:id="136"/>
      <w:bookmarkEnd w:id="137"/>
    </w:p>
    <w:p>
      <w:pPr>
        <w:ind w:firstLine="640"/>
        <w:rPr>
          <w:rFonts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>完善综合能源补给设施布局，持续升级交通补能设施网络，打造零碳货运走廊，建设深港跨境运输绿色物流网。</w:t>
      </w:r>
      <w:r>
        <w:rPr>
          <w:rFonts w:ascii="仿宋_GB2312" w:cs="Times New Roman"/>
          <w:szCs w:val="32"/>
        </w:rPr>
        <w:t>合理配置新型储能、柔性制氢资源。加快打造交通领域虚拟电厂</w:t>
      </w:r>
      <w:r>
        <w:rPr>
          <w:rFonts w:hint="eastAsia" w:ascii="仿宋_GB2312" w:cs="Times New Roman"/>
          <w:szCs w:val="32"/>
        </w:rPr>
        <w:t>，</w:t>
      </w:r>
      <w:r>
        <w:rPr>
          <w:rFonts w:ascii="仿宋_GB2312" w:cs="Times New Roman"/>
          <w:szCs w:val="32"/>
        </w:rPr>
        <w:t>围绕居住小区、办公、工业园区，以分布式电源、电动汽车、充电及储能设施等建设车网互动V2G充放电设施。建设交通与能源需求协同的能源管理系统，实现动态匹配</w:t>
      </w:r>
      <w:r>
        <w:rPr>
          <w:rFonts w:hint="eastAsia" w:ascii="仿宋_GB2312" w:cs="Times New Roman"/>
          <w:szCs w:val="32"/>
        </w:rPr>
        <w:t>与</w:t>
      </w:r>
      <w:r>
        <w:rPr>
          <w:rFonts w:ascii="仿宋_GB2312" w:cs="Times New Roman"/>
          <w:szCs w:val="32"/>
        </w:rPr>
        <w:t>智慧调度。</w:t>
      </w:r>
      <w:r>
        <w:rPr>
          <w:rFonts w:hint="eastAsia" w:ascii="仿宋_GB2312" w:cs="Times New Roman"/>
          <w:szCs w:val="32"/>
        </w:rPr>
        <w:t>探索建设多功能垂直复合叠加的立体空间，加强轨道交通枢纽、公交场站等用地立体开发利用。</w:t>
      </w:r>
    </w:p>
    <w:p>
      <w:pPr>
        <w:pStyle w:val="4"/>
        <w:numPr>
          <w:ilvl w:val="0"/>
          <w:numId w:val="0"/>
        </w:numPr>
        <w:spacing w:before="217" w:beforeLines="50" w:after="217" w:afterLines="50"/>
        <w:rPr>
          <w:rFonts w:ascii="Times New Roman" w:cs="Times New Roman"/>
          <w:szCs w:val="22"/>
        </w:rPr>
      </w:pPr>
      <w:bookmarkStart w:id="138" w:name="_Toc223982531"/>
      <w:bookmarkStart w:id="139" w:name="_Toc226556380"/>
      <w:bookmarkStart w:id="140" w:name="_Toc228353004"/>
      <w:bookmarkStart w:id="141" w:name="_Toc223982547"/>
      <w:r>
        <w:rPr>
          <w:rFonts w:hint="eastAsia" w:ascii="Times New Roman" w:cs="Times New Roman"/>
          <w:szCs w:val="22"/>
        </w:rPr>
        <w:t>第三节</w:t>
      </w:r>
      <w:bookmarkEnd w:id="138"/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加快清洁能源规模应用</w:t>
      </w:r>
      <w:bookmarkEnd w:id="139"/>
      <w:bookmarkEnd w:id="140"/>
    </w:p>
    <w:p>
      <w:pPr>
        <w:ind w:firstLine="640"/>
        <w:rPr>
          <w:rFonts w:ascii="仿宋_GB2312" w:cs="Times New Roman"/>
          <w:b/>
          <w:bCs/>
          <w:szCs w:val="32"/>
        </w:rPr>
      </w:pPr>
      <w:r>
        <w:rPr>
          <w:rFonts w:ascii="仿宋_GB2312" w:cs="Times New Roman"/>
          <w:szCs w:val="32"/>
        </w:rPr>
        <w:t>在物流重卡、泥头车等领域推广新能源车辆，鼓励氢燃料电池汽车试点</w:t>
      </w:r>
      <w:r>
        <w:rPr>
          <w:rFonts w:hint="eastAsia" w:ascii="仿宋_GB2312" w:cs="Times New Roman"/>
          <w:szCs w:val="32"/>
        </w:rPr>
        <w:t>。</w:t>
      </w:r>
      <w:r>
        <w:rPr>
          <w:rFonts w:ascii="仿宋_GB2312" w:cs="Times New Roman"/>
          <w:szCs w:val="32"/>
        </w:rPr>
        <w:t>深化营运船舶与拖轮清洁动力应用，</w:t>
      </w:r>
      <w:r>
        <w:rPr>
          <w:rFonts w:hint="eastAsia" w:ascii="仿宋_GB2312" w:cs="Times New Roman"/>
          <w:szCs w:val="32"/>
        </w:rPr>
        <w:t>鼓励新建及改造清洁能源动力船舶。加快封闭场景重卡换电应用，推动港区内新增拖车全面采用清洁能源。</w:t>
      </w:r>
      <w:r>
        <w:rPr>
          <w:rFonts w:hint="eastAsia" w:ascii="仿宋_GB2312" w:cs="Times New Roman"/>
        </w:rPr>
        <w:t>加强与国际集装箱枢纽港口间开展绿色航运走廊合作。</w:t>
      </w:r>
      <w:r>
        <w:rPr>
          <w:rFonts w:ascii="仿宋_GB2312" w:cs="Times New Roman"/>
        </w:rPr>
        <w:t>推进绿色机</w:t>
      </w:r>
      <w:r>
        <w:rPr>
          <w:rFonts w:ascii="仿宋_GB2312" w:cs="Times New Roman"/>
          <w:szCs w:val="32"/>
        </w:rPr>
        <w:t>场建设，全面推广</w:t>
      </w:r>
      <w:r>
        <w:rPr>
          <w:rFonts w:hint="eastAsia" w:ascii="仿宋_GB2312" w:cs="Times New Roman"/>
          <w:szCs w:val="32"/>
        </w:rPr>
        <w:t>清洁动力与</w:t>
      </w:r>
      <w:r>
        <w:rPr>
          <w:rFonts w:ascii="仿宋_GB2312" w:cs="Times New Roman"/>
          <w:szCs w:val="32"/>
        </w:rPr>
        <w:t>可再生能源</w:t>
      </w:r>
      <w:r>
        <w:rPr>
          <w:rFonts w:hint="eastAsia" w:ascii="仿宋_GB2312" w:cs="Times New Roman"/>
          <w:szCs w:val="32"/>
        </w:rPr>
        <w:t>利用</w:t>
      </w:r>
      <w:r>
        <w:rPr>
          <w:rFonts w:ascii="仿宋_GB2312" w:cs="Times New Roman"/>
          <w:szCs w:val="32"/>
        </w:rPr>
        <w:t>。</w:t>
      </w:r>
      <w:r>
        <w:rPr>
          <w:rFonts w:hint="eastAsia" w:ascii="仿宋_GB2312" w:cs="Times New Roman"/>
          <w:szCs w:val="32"/>
        </w:rPr>
        <w:t>逐步淘汰枢纽场站高排放的燃油非道路移动机械。</w:t>
      </w:r>
      <w:r>
        <w:rPr>
          <w:rFonts w:ascii="仿宋_GB2312" w:cs="Times New Roman"/>
          <w:szCs w:val="32"/>
        </w:rPr>
        <w:t>加快完善</w:t>
      </w:r>
      <w:r>
        <w:rPr>
          <w:rFonts w:hint="eastAsia" w:ascii="仿宋_GB2312" w:hAnsi="仿宋_GB2312" w:cs="仿宋_GB2312"/>
          <w:szCs w:val="32"/>
        </w:rPr>
        <w:t>“</w:t>
      </w:r>
      <w:r>
        <w:rPr>
          <w:rFonts w:ascii="仿宋_GB2312" w:cs="Times New Roman"/>
          <w:szCs w:val="32"/>
        </w:rPr>
        <w:t>源网荷储充</w:t>
      </w:r>
      <w:r>
        <w:rPr>
          <w:rFonts w:hint="eastAsia" w:ascii="仿宋_GB2312" w:hAnsi="仿宋_GB2312" w:cs="仿宋_GB2312"/>
          <w:szCs w:val="32"/>
        </w:rPr>
        <w:t>”</w:t>
      </w:r>
      <w:r>
        <w:rPr>
          <w:rFonts w:ascii="仿宋_GB2312" w:cs="Times New Roman"/>
          <w:szCs w:val="32"/>
        </w:rPr>
        <w:t>一体化建设技术标准与安全规范。创新电力市场交易机制，明确新能源汽车作为移动储能单元参与虚拟电厂运行的市场准入</w:t>
      </w:r>
      <w:r>
        <w:rPr>
          <w:rFonts w:hint="eastAsia" w:ascii="仿宋_GB2312" w:cs="Times New Roman"/>
          <w:szCs w:val="32"/>
        </w:rPr>
        <w:t>与</w:t>
      </w:r>
      <w:r>
        <w:rPr>
          <w:rFonts w:ascii="仿宋_GB2312" w:cs="Times New Roman"/>
          <w:szCs w:val="32"/>
        </w:rPr>
        <w:t>交易规则</w:t>
      </w:r>
      <w:r>
        <w:rPr>
          <w:rFonts w:hint="eastAsia" w:ascii="仿宋_GB2312" w:cs="Times New Roman"/>
          <w:szCs w:val="32"/>
        </w:rPr>
        <w:t>。</w:t>
      </w:r>
    </w:p>
    <w:bookmarkEnd w:id="141"/>
    <w:p>
      <w:pPr>
        <w:ind w:firstLine="640"/>
        <w:rPr>
          <w:rFonts w:ascii="仿宋_GB2312"/>
        </w:rPr>
        <w:sectPr>
          <w:footnotePr>
            <w:numRestart w:val="eachPage"/>
          </w:footnotePr>
          <w:pgSz w:w="11906" w:h="16838"/>
          <w:pgMar w:top="1440" w:right="1800" w:bottom="1440" w:left="1800" w:header="794" w:footer="992" w:gutter="0"/>
          <w:cols w:space="425" w:num="1"/>
          <w:docGrid w:type="lines" w:linePitch="435" w:charSpace="0"/>
        </w:sectPr>
      </w:pPr>
      <w:bookmarkStart w:id="142" w:name="_Toc223982549"/>
    </w:p>
    <w:p>
      <w:pPr>
        <w:pStyle w:val="3"/>
        <w:numPr>
          <w:ilvl w:val="0"/>
          <w:numId w:val="0"/>
        </w:numPr>
        <w:rPr>
          <w:rFonts w:cs="Times New Roman"/>
          <w:b w:val="0"/>
          <w:bCs w:val="0"/>
        </w:rPr>
      </w:pPr>
      <w:bookmarkStart w:id="143" w:name="_Toc226556381"/>
      <w:bookmarkStart w:id="144" w:name="_Toc228353005"/>
      <w:r>
        <w:rPr>
          <w:rFonts w:cs="Times New Roman"/>
          <w:b w:val="0"/>
          <w:bCs w:val="0"/>
        </w:rPr>
        <w:t>第</w:t>
      </w:r>
      <w:r>
        <w:rPr>
          <w:rFonts w:hint="eastAsia" w:cs="Times New Roman"/>
          <w:b w:val="0"/>
          <w:bCs w:val="0"/>
        </w:rPr>
        <w:t>九</w:t>
      </w:r>
      <w:r>
        <w:rPr>
          <w:rFonts w:cs="Times New Roman"/>
          <w:b w:val="0"/>
          <w:bCs w:val="0"/>
        </w:rPr>
        <w:t xml:space="preserve">章 </w:t>
      </w:r>
      <w:bookmarkEnd w:id="142"/>
      <w:r>
        <w:rPr>
          <w:rFonts w:hint="eastAsia" w:cs="Times New Roman"/>
          <w:b w:val="0"/>
          <w:bCs w:val="0"/>
        </w:rPr>
        <w:t>保障措施</w:t>
      </w:r>
      <w:bookmarkEnd w:id="143"/>
      <w:bookmarkEnd w:id="144"/>
    </w:p>
    <w:p>
      <w:pPr>
        <w:pStyle w:val="4"/>
        <w:numPr>
          <w:ilvl w:val="0"/>
          <w:numId w:val="0"/>
        </w:numPr>
        <w:spacing w:before="217" w:beforeLines="50" w:after="217" w:afterLines="50" w:line="400" w:lineRule="exact"/>
        <w:rPr>
          <w:rFonts w:ascii="Times New Roman" w:cs="Times New Roman"/>
          <w:szCs w:val="22"/>
        </w:rPr>
      </w:pPr>
      <w:bookmarkStart w:id="145" w:name="_Toc226556382"/>
      <w:bookmarkStart w:id="146" w:name="_Toc228353006"/>
      <w:bookmarkStart w:id="147" w:name="_Toc216786927"/>
      <w:bookmarkStart w:id="148" w:name="_Toc223982550"/>
      <w:bookmarkStart w:id="149" w:name="_Toc4085"/>
      <w:r>
        <w:rPr>
          <w:rFonts w:hint="eastAsia" w:ascii="Times New Roman" w:cs="Times New Roman"/>
          <w:szCs w:val="22"/>
        </w:rPr>
        <w:t>第一节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强化组织</w:t>
      </w:r>
      <w:r>
        <w:rPr>
          <w:rFonts w:ascii="Times New Roman" w:cs="Times New Roman"/>
          <w:szCs w:val="22"/>
        </w:rPr>
        <w:t>实施与政策支撑</w:t>
      </w:r>
      <w:bookmarkEnd w:id="145"/>
      <w:bookmarkEnd w:id="146"/>
    </w:p>
    <w:p>
      <w:pPr>
        <w:pStyle w:val="2"/>
        <w:ind w:firstLine="643"/>
      </w:pPr>
      <w:r>
        <w:rPr>
          <w:rFonts w:hint="eastAsia"/>
          <w:b/>
          <w:bCs/>
        </w:rPr>
        <w:t>强化规划落地组织与保障。</w:t>
      </w:r>
      <w:r>
        <w:t>强化与国土空间规划衔接，保障用地用海用林等资源精准供给。拓宽投融资渠道，</w:t>
      </w:r>
      <w:r>
        <w:rPr>
          <w:rFonts w:hint="eastAsia"/>
        </w:rPr>
        <w:t>用好</w:t>
      </w:r>
      <w:r>
        <w:t>地方政府专项债，引导社会资本参与交通建设与运营。深化都市圈跨界统筹及深港跨境规则衔接。开展规划实施评估</w:t>
      </w:r>
      <w:r>
        <w:rPr>
          <w:rFonts w:hint="eastAsia"/>
        </w:rPr>
        <w:t>，</w:t>
      </w:r>
      <w:r>
        <w:t>搭建智慧交通监测网络，</w:t>
      </w:r>
      <w:r>
        <w:rPr>
          <w:rFonts w:hint="eastAsia"/>
        </w:rPr>
        <w:t>健全</w:t>
      </w:r>
      <w:r>
        <w:t>年度监测与综合评估</w:t>
      </w:r>
      <w:r>
        <w:rPr>
          <w:rFonts w:hint="eastAsia"/>
        </w:rPr>
        <w:t>体系</w:t>
      </w:r>
      <w:r>
        <w:t>，实行目标与项目库动态调整，畅通公众监督渠道。</w:t>
      </w:r>
    </w:p>
    <w:p>
      <w:pPr>
        <w:ind w:firstLine="643"/>
      </w:pPr>
      <w:r>
        <w:rPr>
          <w:rFonts w:ascii="仿宋_GB2312" w:cs="Times New Roman"/>
          <w:b/>
          <w:bCs/>
        </w:rPr>
        <w:t>完善行业政策法规标准体系。</w:t>
      </w:r>
      <w:r>
        <w:t>完善顶层制度设计</w:t>
      </w:r>
      <w:r>
        <w:rPr>
          <w:rFonts w:hint="eastAsia"/>
        </w:rPr>
        <w:t>，</w:t>
      </w:r>
      <w:r>
        <w:t>建立</w:t>
      </w:r>
      <w:r>
        <w:rPr>
          <w:rFonts w:hint="eastAsia"/>
        </w:rPr>
        <w:t>健全</w:t>
      </w:r>
      <w:r>
        <w:t>自动驾驶、低空等新业态政策管理体系</w:t>
      </w:r>
      <w:r>
        <w:rPr>
          <w:rFonts w:hint="eastAsia"/>
        </w:rPr>
        <w:t>，</w:t>
      </w:r>
      <w:r>
        <w:t>明确智能网联汽车</w:t>
      </w:r>
      <w:r>
        <w:rPr>
          <w:rFonts w:hint="eastAsia"/>
        </w:rPr>
        <w:t>商业运营管理</w:t>
      </w:r>
      <w:r>
        <w:t>机制</w:t>
      </w:r>
      <w:r>
        <w:rPr>
          <w:rFonts w:hint="eastAsia"/>
        </w:rPr>
        <w:t>，</w:t>
      </w:r>
      <w:r>
        <w:t>构建跨部门联动的低空安全监管体系。建立跨方式安检互信与出行信息共享机制，推动出行服务一体化发展。制定新基建全生命周期管理标准体系。</w:t>
      </w:r>
    </w:p>
    <w:p>
      <w:pPr>
        <w:pStyle w:val="4"/>
        <w:numPr>
          <w:ilvl w:val="0"/>
          <w:numId w:val="0"/>
        </w:numPr>
        <w:spacing w:before="217" w:beforeLines="50" w:after="217" w:afterLines="50" w:line="400" w:lineRule="exact"/>
        <w:rPr>
          <w:rFonts w:ascii="Times New Roman" w:cs="Times New Roman"/>
          <w:szCs w:val="22"/>
        </w:rPr>
      </w:pPr>
      <w:bookmarkStart w:id="150" w:name="_Toc226556383"/>
      <w:bookmarkStart w:id="151" w:name="_Toc228353007"/>
      <w:r>
        <w:rPr>
          <w:rFonts w:hint="eastAsia" w:ascii="Times New Roman" w:cs="Times New Roman"/>
          <w:szCs w:val="22"/>
        </w:rPr>
        <w:t>第二节</w:t>
      </w:r>
      <w:r>
        <w:rPr>
          <w:rFonts w:ascii="Times New Roman" w:cs="Times New Roman"/>
          <w:szCs w:val="22"/>
        </w:rPr>
        <w:t xml:space="preserve"> </w:t>
      </w:r>
      <w:r>
        <w:rPr>
          <w:rFonts w:hint="eastAsia" w:ascii="Times New Roman" w:cs="Times New Roman"/>
          <w:szCs w:val="22"/>
        </w:rPr>
        <w:t>落实环境影响评价</w:t>
      </w:r>
      <w:bookmarkEnd w:id="147"/>
      <w:bookmarkEnd w:id="148"/>
      <w:bookmarkEnd w:id="149"/>
      <w:r>
        <w:rPr>
          <w:rFonts w:hint="eastAsia" w:ascii="Times New Roman" w:cs="Times New Roman"/>
          <w:szCs w:val="22"/>
        </w:rPr>
        <w:t>与防控</w:t>
      </w:r>
      <w:bookmarkEnd w:id="150"/>
      <w:bookmarkEnd w:id="151"/>
    </w:p>
    <w:p>
      <w:pPr>
        <w:ind w:firstLine="640"/>
        <w:rPr>
          <w:rFonts w:hint="eastAsia" w:ascii="仿宋_GB2312" w:cs="Times New Roman"/>
        </w:rPr>
      </w:pPr>
      <w:r>
        <w:t>本规划坚持生态优先、绿色低碳理念，构建与自然和谐共生的现代化综合交通体系。规划实施在土地及海域资源占用、尾气噪声等方面</w:t>
      </w:r>
      <w:r>
        <w:rPr>
          <w:rFonts w:hint="eastAsia"/>
        </w:rPr>
        <w:t>将产生</w:t>
      </w:r>
      <w:r>
        <w:t>一定环境影响</w:t>
      </w:r>
      <w:r>
        <w:rPr>
          <w:rFonts w:hint="eastAsia"/>
        </w:rPr>
        <w:t>。本规划</w:t>
      </w:r>
      <w:r>
        <w:t>与国土空间总体规划及生态</w:t>
      </w:r>
      <w:r>
        <w:rPr>
          <w:rFonts w:hint="eastAsia"/>
        </w:rPr>
        <w:t>环境保护</w:t>
      </w:r>
      <w:r>
        <w:t>规划充分衔接，严格</w:t>
      </w:r>
      <w:r>
        <w:rPr>
          <w:rFonts w:hint="eastAsia"/>
        </w:rPr>
        <w:t>遵守“</w:t>
      </w:r>
      <w:r>
        <w:t>三区三线</w:t>
      </w:r>
      <w:r>
        <w:rPr>
          <w:rFonts w:hint="eastAsia"/>
        </w:rPr>
        <w:t>”</w:t>
      </w:r>
      <w:r>
        <w:t>管控</w:t>
      </w:r>
      <w:r>
        <w:rPr>
          <w:rFonts w:hint="eastAsia"/>
        </w:rPr>
        <w:t>要求</w:t>
      </w:r>
      <w:r>
        <w:t>，</w:t>
      </w:r>
      <w:r>
        <w:rPr>
          <w:rFonts w:hint="eastAsia"/>
        </w:rPr>
        <w:t>并通过</w:t>
      </w:r>
      <w:r>
        <w:t>提升资源与运输效率</w:t>
      </w:r>
      <w:r>
        <w:rPr>
          <w:rFonts w:hint="eastAsia"/>
        </w:rPr>
        <w:t>等措施</w:t>
      </w:r>
      <w:r>
        <w:t>降低单位能耗与</w:t>
      </w:r>
      <w:r>
        <w:rPr>
          <w:rFonts w:hint="eastAsia"/>
        </w:rPr>
        <w:t>污染物</w:t>
      </w:r>
      <w:r>
        <w:t>排放，影响总体可控。实施中坚持源头防控与全过程管理，落实</w:t>
      </w:r>
      <w:r>
        <w:rPr>
          <w:rFonts w:hint="eastAsia"/>
        </w:rPr>
        <w:t>“</w:t>
      </w:r>
      <w:r>
        <w:t>避让—保护—修复</w:t>
      </w:r>
      <w:r>
        <w:rPr>
          <w:rFonts w:hint="eastAsia"/>
        </w:rPr>
        <w:t>”</w:t>
      </w:r>
      <w:r>
        <w:t>原则，推进装备清洁化替代与绿色建造，最大限度降低生态扰动。</w:t>
      </w:r>
    </w:p>
    <w:sectPr>
      <w:footnotePr>
        <w:numRestart w:val="eachPage"/>
      </w:footnotePr>
      <w:pgSz w:w="11906" w:h="16838"/>
      <w:pgMar w:top="1440" w:right="1800" w:bottom="1440" w:left="1800" w:header="794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ngti SC">
    <w:altName w:val="C059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jc w:val="center"/>
    </w:pPr>
    <w:sdt>
      <w:sdtPr>
        <w:id w:val="1572079733"/>
        <w:showingPlcHdr/>
      </w:sdtPr>
      <w:sdtContent>
        <w: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  <w:p>
    <w:pPr>
      <w:pStyle w:val="9"/>
      <w:ind w:firstLine="360"/>
      <w:rPr>
        <w:rFonts w:ascii="仿宋_GB23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9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8094605"/>
    </w:sdtPr>
    <w:sdtContent>
      <w:p>
        <w:pPr>
          <w:pStyle w:val="9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  <w:ind w:firstLine="360"/>
      <w:rPr>
        <w:rFonts w:ascii="仿宋_GB23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pPr>
        <w:spacing w:line="240" w:lineRule="auto"/>
        <w:ind w:firstLine="640"/>
      </w:pPr>
      <w:r>
        <w:separator/>
      </w:r>
    </w:p>
  </w:footnote>
  <w:footnote w:type="continuationSeparator" w:id="17">
    <w:p>
      <w:pPr>
        <w:spacing w:line="240" w:lineRule="auto"/>
        <w:ind w:firstLine="640"/>
      </w:pPr>
      <w:r>
        <w:continuationSeparator/>
      </w:r>
    </w:p>
  </w:footnote>
  <w:footnote w:id="0">
    <w:p>
      <w:pPr>
        <w:pStyle w:val="13"/>
        <w:spacing w:line="240" w:lineRule="auto"/>
        <w:ind w:firstLine="360"/>
        <w:rPr>
          <w:rFonts w:hint="eastAsia"/>
        </w:rPr>
      </w:pPr>
      <w:r>
        <w:rPr>
          <w:rFonts w:hint="eastAsia"/>
        </w:rPr>
        <w:footnoteRef/>
      </w:r>
      <w:r>
        <w:t xml:space="preserve"> </w:t>
      </w:r>
      <w:r>
        <w:rPr>
          <w:rFonts w:hint="eastAsia"/>
        </w:rPr>
        <w:t>3条跑道+3个航站区+3个货运区+1个卫星厅。</w:t>
      </w:r>
    </w:p>
  </w:footnote>
  <w:footnote w:id="1">
    <w:p>
      <w:pPr>
        <w:pStyle w:val="13"/>
        <w:spacing w:line="240" w:lineRule="auto"/>
        <w:ind w:firstLine="360"/>
        <w:rPr>
          <w:rFonts w:hint="eastAsia"/>
        </w:rPr>
      </w:pPr>
      <w:r>
        <w:rPr>
          <w:rFonts w:hint="eastAsia"/>
        </w:rPr>
        <w:footnoteRef/>
      </w:r>
      <w:r>
        <w:t xml:space="preserve"> </w:t>
      </w:r>
      <w:r>
        <w:rPr>
          <w:rFonts w:hint="eastAsia"/>
        </w:rPr>
        <w:t>一体：深圳港，三翼：东、中、西翼，七区：宝安、大铲湾、南山、大小铲岛、盐田、大鹏、小漠港区。</w:t>
      </w:r>
    </w:p>
  </w:footnote>
  <w:footnote w:id="2">
    <w:p>
      <w:pPr>
        <w:pStyle w:val="13"/>
        <w:spacing w:line="240" w:lineRule="auto"/>
        <w:ind w:firstLine="360"/>
        <w:rPr>
          <w:rFonts w:hint="eastAsia"/>
        </w:rPr>
      </w:pPr>
      <w:r>
        <w:rPr>
          <w:rFonts w:hint="eastAsia"/>
        </w:rPr>
        <w:footnoteRef/>
      </w:r>
      <w:r>
        <w:t xml:space="preserve"> </w:t>
      </w:r>
      <w:r>
        <w:rPr>
          <w:rFonts w:hint="eastAsia"/>
        </w:rPr>
        <w:t>五主：深圳、深圳北、西丽、机场东、坪山，五辅：光明城、福田、罗湖北、深圳东、平湖。</w:t>
      </w:r>
    </w:p>
  </w:footnote>
  <w:footnote w:id="3">
    <w:p>
      <w:pPr>
        <w:pStyle w:val="13"/>
        <w:spacing w:line="240" w:lineRule="auto"/>
        <w:ind w:firstLine="360"/>
        <w:rPr>
          <w:rFonts w:hint="eastAsia"/>
        </w:rPr>
      </w:pPr>
      <w:r>
        <w:rPr>
          <w:rFonts w:hint="eastAsia"/>
        </w:rPr>
        <w:footnoteRef/>
      </w:r>
      <w:r>
        <w:t xml:space="preserve"> </w:t>
      </w:r>
      <w:r>
        <w:rPr>
          <w:rFonts w:hint="eastAsia"/>
        </w:rPr>
        <w:t>1000公里高铁城际、1000公里地铁、1000公里高快速路。</w:t>
      </w:r>
    </w:p>
  </w:footnote>
  <w:footnote w:id="4">
    <w:p>
      <w:pPr>
        <w:pStyle w:val="13"/>
        <w:spacing w:line="240" w:lineRule="auto"/>
        <w:ind w:firstLine="360"/>
        <w:rPr>
          <w:rFonts w:hint="eastAsia"/>
        </w:rPr>
      </w:pPr>
      <w:r>
        <w:rPr>
          <w:rFonts w:hint="eastAsia"/>
        </w:rPr>
        <w:footnoteRef/>
      </w:r>
      <w:r>
        <w:t xml:space="preserve"> </w:t>
      </w:r>
      <w:r>
        <w:rPr>
          <w:rFonts w:hint="eastAsia"/>
        </w:rPr>
        <w:t>与粤港澳大湾区主要城市1小时通达，与粤东粤西粤北地区2小时通达，与国内及东南亚主要城市3小时通达，与全球主要城市12小时通达。</w:t>
      </w:r>
    </w:p>
  </w:footnote>
  <w:footnote w:id="5">
    <w:p>
      <w:pPr>
        <w:pStyle w:val="13"/>
        <w:spacing w:line="240" w:lineRule="auto"/>
        <w:ind w:firstLine="360"/>
        <w:rPr>
          <w:rFonts w:hint="eastAsia"/>
        </w:rPr>
      </w:pPr>
      <w:r>
        <w:rPr>
          <w:rFonts w:hint="eastAsia"/>
        </w:rPr>
        <w:footnoteRef/>
      </w:r>
      <w:r>
        <w:t xml:space="preserve"> </w:t>
      </w:r>
      <w:r>
        <w:rPr>
          <w:rFonts w:hint="eastAsia"/>
        </w:rPr>
        <w:t>国内1天送达，周边国家主要城市2天送达，全球主要城市3天送达。</w:t>
      </w:r>
    </w:p>
  </w:footnote>
  <w:footnote w:id="6">
    <w:p>
      <w:pPr>
        <w:pStyle w:val="13"/>
        <w:spacing w:line="240" w:lineRule="auto"/>
        <w:ind w:firstLine="360"/>
        <w:rPr>
          <w:rFonts w:hint="eastAsia"/>
        </w:rPr>
      </w:pPr>
      <w:r>
        <w:rPr>
          <w:rFonts w:hint="eastAsia"/>
        </w:rPr>
        <w:footnoteRef/>
      </w:r>
      <w:r>
        <w:t xml:space="preserve"> </w:t>
      </w:r>
      <w:r>
        <w:rPr>
          <w:rFonts w:hint="eastAsia"/>
        </w:rPr>
        <w:t>10分钟接入高快速路网、30分钟可达高铁枢纽、60分钟可达机场枢纽。</w:t>
      </w:r>
    </w:p>
  </w:footnote>
  <w:footnote w:id="7">
    <w:p>
      <w:pPr>
        <w:pStyle w:val="13"/>
        <w:spacing w:line="240" w:lineRule="auto"/>
        <w:ind w:firstLine="360"/>
        <w:rPr>
          <w:rFonts w:hint="eastAsia"/>
        </w:rPr>
      </w:pPr>
      <w:r>
        <w:rPr>
          <w:rFonts w:hint="eastAsia"/>
        </w:rPr>
        <w:footnoteRef/>
      </w:r>
      <w:r>
        <w:t xml:space="preserve"> </w:t>
      </w:r>
      <w:r>
        <w:rPr>
          <w:rFonts w:hint="eastAsia"/>
        </w:rPr>
        <w:t>一试点：城市空中交通管理试点；四中心：全场景示范验证中心、“一站式”解决方案供给中心、全球总部研发中心、低空高端智造中心。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D1B8A"/>
    <w:multiLevelType w:val="multilevel"/>
    <w:tmpl w:val="389D1B8A"/>
    <w:lvl w:ilvl="0" w:tentative="0">
      <w:start w:val="1"/>
      <w:numFmt w:val="chineseCountingThousand"/>
      <w:pStyle w:val="3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63FC8"/>
    <w:multiLevelType w:val="multilevel"/>
    <w:tmpl w:val="54E63FC8"/>
    <w:lvl w:ilvl="0" w:tentative="0">
      <w:start w:val="1"/>
      <w:numFmt w:val="chineseCountingThousand"/>
      <w:pStyle w:val="4"/>
      <w:lvlText w:val="第%1节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HorizontalSpacing w:val="160"/>
  <w:drawingGridVerticalSpacing w:val="435"/>
  <w:noPunctuationKerning w:val="true"/>
  <w:characterSpacingControl w:val="compressPunctuation"/>
  <w:footnotePr>
    <w:numRestart w:val="eachPage"/>
    <w:footnote w:id="16"/>
    <w:footnote w:id="17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C426B6"/>
    <w:rsid w:val="00001AFB"/>
    <w:rsid w:val="00003915"/>
    <w:rsid w:val="00007169"/>
    <w:rsid w:val="00007F31"/>
    <w:rsid w:val="0001154A"/>
    <w:rsid w:val="0001506F"/>
    <w:rsid w:val="00021464"/>
    <w:rsid w:val="000252FA"/>
    <w:rsid w:val="00025E77"/>
    <w:rsid w:val="00026855"/>
    <w:rsid w:val="0003223B"/>
    <w:rsid w:val="00036084"/>
    <w:rsid w:val="00056B52"/>
    <w:rsid w:val="00063898"/>
    <w:rsid w:val="0006789A"/>
    <w:rsid w:val="00070E9F"/>
    <w:rsid w:val="000719F9"/>
    <w:rsid w:val="000722D0"/>
    <w:rsid w:val="00077E8B"/>
    <w:rsid w:val="00081C1E"/>
    <w:rsid w:val="00085483"/>
    <w:rsid w:val="000878A2"/>
    <w:rsid w:val="00087F14"/>
    <w:rsid w:val="00092F5B"/>
    <w:rsid w:val="00093445"/>
    <w:rsid w:val="00093D09"/>
    <w:rsid w:val="000954EC"/>
    <w:rsid w:val="00095A3B"/>
    <w:rsid w:val="00096042"/>
    <w:rsid w:val="000966A5"/>
    <w:rsid w:val="000A2D45"/>
    <w:rsid w:val="000A56E0"/>
    <w:rsid w:val="000A65EF"/>
    <w:rsid w:val="000B621D"/>
    <w:rsid w:val="000B6281"/>
    <w:rsid w:val="000B6F17"/>
    <w:rsid w:val="000B7965"/>
    <w:rsid w:val="000B7B97"/>
    <w:rsid w:val="000B7DBF"/>
    <w:rsid w:val="000C550A"/>
    <w:rsid w:val="000D0304"/>
    <w:rsid w:val="000D076A"/>
    <w:rsid w:val="000D1C09"/>
    <w:rsid w:val="000D5766"/>
    <w:rsid w:val="000D7827"/>
    <w:rsid w:val="000E1CA6"/>
    <w:rsid w:val="000E1E9C"/>
    <w:rsid w:val="000E38C4"/>
    <w:rsid w:val="000E55CD"/>
    <w:rsid w:val="000F0172"/>
    <w:rsid w:val="000F29F4"/>
    <w:rsid w:val="000F3261"/>
    <w:rsid w:val="000F4408"/>
    <w:rsid w:val="000F4703"/>
    <w:rsid w:val="000F55DB"/>
    <w:rsid w:val="0010126D"/>
    <w:rsid w:val="00101384"/>
    <w:rsid w:val="001028A3"/>
    <w:rsid w:val="0010686D"/>
    <w:rsid w:val="001101C8"/>
    <w:rsid w:val="00113E04"/>
    <w:rsid w:val="00114966"/>
    <w:rsid w:val="001152F6"/>
    <w:rsid w:val="00115CEC"/>
    <w:rsid w:val="001170DA"/>
    <w:rsid w:val="00117AA5"/>
    <w:rsid w:val="001233DB"/>
    <w:rsid w:val="00124911"/>
    <w:rsid w:val="00124D4A"/>
    <w:rsid w:val="00130E5E"/>
    <w:rsid w:val="00133D26"/>
    <w:rsid w:val="0013435B"/>
    <w:rsid w:val="00135E05"/>
    <w:rsid w:val="00143998"/>
    <w:rsid w:val="00147E37"/>
    <w:rsid w:val="00151DB9"/>
    <w:rsid w:val="00152BCE"/>
    <w:rsid w:val="0015351F"/>
    <w:rsid w:val="001539F0"/>
    <w:rsid w:val="00156D0E"/>
    <w:rsid w:val="00157D56"/>
    <w:rsid w:val="00163327"/>
    <w:rsid w:val="0016359C"/>
    <w:rsid w:val="00164230"/>
    <w:rsid w:val="00164272"/>
    <w:rsid w:val="00164710"/>
    <w:rsid w:val="00164F9D"/>
    <w:rsid w:val="00170AAF"/>
    <w:rsid w:val="00171205"/>
    <w:rsid w:val="00171688"/>
    <w:rsid w:val="00171FF0"/>
    <w:rsid w:val="00172D84"/>
    <w:rsid w:val="00175C1B"/>
    <w:rsid w:val="00180B1A"/>
    <w:rsid w:val="00187092"/>
    <w:rsid w:val="00187668"/>
    <w:rsid w:val="001900F0"/>
    <w:rsid w:val="001903EB"/>
    <w:rsid w:val="00191690"/>
    <w:rsid w:val="00194E77"/>
    <w:rsid w:val="001A0B0A"/>
    <w:rsid w:val="001A4B72"/>
    <w:rsid w:val="001B087D"/>
    <w:rsid w:val="001B0EC6"/>
    <w:rsid w:val="001B3C7E"/>
    <w:rsid w:val="001B3FD0"/>
    <w:rsid w:val="001B571C"/>
    <w:rsid w:val="001C01FC"/>
    <w:rsid w:val="001D08AA"/>
    <w:rsid w:val="001D0B2C"/>
    <w:rsid w:val="001D1A11"/>
    <w:rsid w:val="001D2234"/>
    <w:rsid w:val="001D25E0"/>
    <w:rsid w:val="001D5558"/>
    <w:rsid w:val="001D6F78"/>
    <w:rsid w:val="001D7D62"/>
    <w:rsid w:val="001F162E"/>
    <w:rsid w:val="001F31E9"/>
    <w:rsid w:val="001F7CA7"/>
    <w:rsid w:val="00200B8E"/>
    <w:rsid w:val="002019B4"/>
    <w:rsid w:val="0020200C"/>
    <w:rsid w:val="00203003"/>
    <w:rsid w:val="00211724"/>
    <w:rsid w:val="0021279D"/>
    <w:rsid w:val="00214ED2"/>
    <w:rsid w:val="00216966"/>
    <w:rsid w:val="00221873"/>
    <w:rsid w:val="0022485F"/>
    <w:rsid w:val="002255AD"/>
    <w:rsid w:val="00225736"/>
    <w:rsid w:val="00226401"/>
    <w:rsid w:val="00232864"/>
    <w:rsid w:val="00233B03"/>
    <w:rsid w:val="00236880"/>
    <w:rsid w:val="0024124D"/>
    <w:rsid w:val="0024484E"/>
    <w:rsid w:val="00244EE4"/>
    <w:rsid w:val="002450AB"/>
    <w:rsid w:val="002476C4"/>
    <w:rsid w:val="002501FD"/>
    <w:rsid w:val="00250272"/>
    <w:rsid w:val="002508D8"/>
    <w:rsid w:val="002579D2"/>
    <w:rsid w:val="002617C2"/>
    <w:rsid w:val="002627CE"/>
    <w:rsid w:val="00262A1C"/>
    <w:rsid w:val="0026770C"/>
    <w:rsid w:val="00270D22"/>
    <w:rsid w:val="00271DD3"/>
    <w:rsid w:val="0027492C"/>
    <w:rsid w:val="0027663D"/>
    <w:rsid w:val="00283FEB"/>
    <w:rsid w:val="00287493"/>
    <w:rsid w:val="00290007"/>
    <w:rsid w:val="00295245"/>
    <w:rsid w:val="002A4783"/>
    <w:rsid w:val="002A6EFD"/>
    <w:rsid w:val="002A75D2"/>
    <w:rsid w:val="002B010A"/>
    <w:rsid w:val="002B303B"/>
    <w:rsid w:val="002B45AA"/>
    <w:rsid w:val="002B7542"/>
    <w:rsid w:val="002C012C"/>
    <w:rsid w:val="002C1085"/>
    <w:rsid w:val="002C1149"/>
    <w:rsid w:val="002C1E7B"/>
    <w:rsid w:val="002C2312"/>
    <w:rsid w:val="002C4E5F"/>
    <w:rsid w:val="002C738F"/>
    <w:rsid w:val="002D111D"/>
    <w:rsid w:val="002D3565"/>
    <w:rsid w:val="002D62BF"/>
    <w:rsid w:val="002E3664"/>
    <w:rsid w:val="002E6EC3"/>
    <w:rsid w:val="002E749B"/>
    <w:rsid w:val="002F1B50"/>
    <w:rsid w:val="002F27E2"/>
    <w:rsid w:val="003036AC"/>
    <w:rsid w:val="00304423"/>
    <w:rsid w:val="0030790A"/>
    <w:rsid w:val="00320FA9"/>
    <w:rsid w:val="00322220"/>
    <w:rsid w:val="003262A0"/>
    <w:rsid w:val="0033036E"/>
    <w:rsid w:val="00330E1D"/>
    <w:rsid w:val="00332463"/>
    <w:rsid w:val="00332486"/>
    <w:rsid w:val="00332B23"/>
    <w:rsid w:val="003368BA"/>
    <w:rsid w:val="00336E15"/>
    <w:rsid w:val="00341BA4"/>
    <w:rsid w:val="00343016"/>
    <w:rsid w:val="00345DE3"/>
    <w:rsid w:val="00347254"/>
    <w:rsid w:val="003650D1"/>
    <w:rsid w:val="0037268F"/>
    <w:rsid w:val="003728AE"/>
    <w:rsid w:val="00374090"/>
    <w:rsid w:val="003757D9"/>
    <w:rsid w:val="00375E99"/>
    <w:rsid w:val="00385D94"/>
    <w:rsid w:val="00387978"/>
    <w:rsid w:val="00392352"/>
    <w:rsid w:val="00395E80"/>
    <w:rsid w:val="00397585"/>
    <w:rsid w:val="003A4248"/>
    <w:rsid w:val="003A5B00"/>
    <w:rsid w:val="003A5C38"/>
    <w:rsid w:val="003A62A7"/>
    <w:rsid w:val="003A7383"/>
    <w:rsid w:val="003A7BE1"/>
    <w:rsid w:val="003B01A6"/>
    <w:rsid w:val="003B2541"/>
    <w:rsid w:val="003B4F36"/>
    <w:rsid w:val="003C0739"/>
    <w:rsid w:val="003C1902"/>
    <w:rsid w:val="003C331B"/>
    <w:rsid w:val="003C4C37"/>
    <w:rsid w:val="003C76B1"/>
    <w:rsid w:val="003C7E4C"/>
    <w:rsid w:val="003D12DD"/>
    <w:rsid w:val="003D1CD1"/>
    <w:rsid w:val="003D470E"/>
    <w:rsid w:val="003D5808"/>
    <w:rsid w:val="003E0390"/>
    <w:rsid w:val="003E0D98"/>
    <w:rsid w:val="003E1C3E"/>
    <w:rsid w:val="003E2186"/>
    <w:rsid w:val="003E409D"/>
    <w:rsid w:val="003E5B54"/>
    <w:rsid w:val="003E6EBD"/>
    <w:rsid w:val="003E7248"/>
    <w:rsid w:val="003F01DA"/>
    <w:rsid w:val="003F1E12"/>
    <w:rsid w:val="003F2208"/>
    <w:rsid w:val="003F3C91"/>
    <w:rsid w:val="003F7053"/>
    <w:rsid w:val="00400193"/>
    <w:rsid w:val="004015FC"/>
    <w:rsid w:val="00401DE5"/>
    <w:rsid w:val="00403409"/>
    <w:rsid w:val="0040352C"/>
    <w:rsid w:val="0040576A"/>
    <w:rsid w:val="0040659B"/>
    <w:rsid w:val="004113B2"/>
    <w:rsid w:val="00411BB5"/>
    <w:rsid w:val="00411FD6"/>
    <w:rsid w:val="00413059"/>
    <w:rsid w:val="004151CC"/>
    <w:rsid w:val="00427912"/>
    <w:rsid w:val="00431224"/>
    <w:rsid w:val="0043152C"/>
    <w:rsid w:val="00432EEB"/>
    <w:rsid w:val="00434CF8"/>
    <w:rsid w:val="004356B9"/>
    <w:rsid w:val="004357F2"/>
    <w:rsid w:val="0043722D"/>
    <w:rsid w:val="00440773"/>
    <w:rsid w:val="00447780"/>
    <w:rsid w:val="00450C88"/>
    <w:rsid w:val="0045212E"/>
    <w:rsid w:val="004538C2"/>
    <w:rsid w:val="00455C20"/>
    <w:rsid w:val="00457BC2"/>
    <w:rsid w:val="00464A5F"/>
    <w:rsid w:val="0046728D"/>
    <w:rsid w:val="004715C3"/>
    <w:rsid w:val="00471D85"/>
    <w:rsid w:val="0047338D"/>
    <w:rsid w:val="004735F5"/>
    <w:rsid w:val="00473F9A"/>
    <w:rsid w:val="00474561"/>
    <w:rsid w:val="00474B8F"/>
    <w:rsid w:val="00475BD6"/>
    <w:rsid w:val="00475D02"/>
    <w:rsid w:val="00480AD8"/>
    <w:rsid w:val="00480BE9"/>
    <w:rsid w:val="00480C2A"/>
    <w:rsid w:val="00480FB3"/>
    <w:rsid w:val="00481506"/>
    <w:rsid w:val="00481A06"/>
    <w:rsid w:val="00482407"/>
    <w:rsid w:val="00485479"/>
    <w:rsid w:val="00493996"/>
    <w:rsid w:val="004A2350"/>
    <w:rsid w:val="004A32AC"/>
    <w:rsid w:val="004A577C"/>
    <w:rsid w:val="004B0430"/>
    <w:rsid w:val="004B76F5"/>
    <w:rsid w:val="004C0647"/>
    <w:rsid w:val="004C215A"/>
    <w:rsid w:val="004C5A6E"/>
    <w:rsid w:val="004C6278"/>
    <w:rsid w:val="004C7431"/>
    <w:rsid w:val="004D18CA"/>
    <w:rsid w:val="004D40F4"/>
    <w:rsid w:val="004D45A7"/>
    <w:rsid w:val="004D7860"/>
    <w:rsid w:val="004E0136"/>
    <w:rsid w:val="004E0F13"/>
    <w:rsid w:val="004E2401"/>
    <w:rsid w:val="004E298F"/>
    <w:rsid w:val="004F2706"/>
    <w:rsid w:val="004F3764"/>
    <w:rsid w:val="004F3920"/>
    <w:rsid w:val="005003D0"/>
    <w:rsid w:val="005022E6"/>
    <w:rsid w:val="00502983"/>
    <w:rsid w:val="00504C18"/>
    <w:rsid w:val="00505AC1"/>
    <w:rsid w:val="00506F8C"/>
    <w:rsid w:val="00510CDF"/>
    <w:rsid w:val="00513E6F"/>
    <w:rsid w:val="0051631A"/>
    <w:rsid w:val="0051781E"/>
    <w:rsid w:val="00517AB9"/>
    <w:rsid w:val="00520073"/>
    <w:rsid w:val="005238E3"/>
    <w:rsid w:val="00527161"/>
    <w:rsid w:val="0053003A"/>
    <w:rsid w:val="00531CF5"/>
    <w:rsid w:val="00532E28"/>
    <w:rsid w:val="005374CA"/>
    <w:rsid w:val="00537B52"/>
    <w:rsid w:val="005414A1"/>
    <w:rsid w:val="00542D10"/>
    <w:rsid w:val="005434B4"/>
    <w:rsid w:val="00544174"/>
    <w:rsid w:val="005442D4"/>
    <w:rsid w:val="00544330"/>
    <w:rsid w:val="00544DDD"/>
    <w:rsid w:val="00546D25"/>
    <w:rsid w:val="0054787F"/>
    <w:rsid w:val="00547A7D"/>
    <w:rsid w:val="005565D4"/>
    <w:rsid w:val="00557FF7"/>
    <w:rsid w:val="00564F26"/>
    <w:rsid w:val="00570F0E"/>
    <w:rsid w:val="00573612"/>
    <w:rsid w:val="005769B1"/>
    <w:rsid w:val="0058034F"/>
    <w:rsid w:val="00580933"/>
    <w:rsid w:val="0058670A"/>
    <w:rsid w:val="0059003B"/>
    <w:rsid w:val="00591640"/>
    <w:rsid w:val="00591C86"/>
    <w:rsid w:val="00593201"/>
    <w:rsid w:val="00593EFF"/>
    <w:rsid w:val="005954B6"/>
    <w:rsid w:val="005970E3"/>
    <w:rsid w:val="00597416"/>
    <w:rsid w:val="005A0259"/>
    <w:rsid w:val="005A0789"/>
    <w:rsid w:val="005A175C"/>
    <w:rsid w:val="005A28B5"/>
    <w:rsid w:val="005A3A2F"/>
    <w:rsid w:val="005A4ADA"/>
    <w:rsid w:val="005A6ED9"/>
    <w:rsid w:val="005A701B"/>
    <w:rsid w:val="005A73DB"/>
    <w:rsid w:val="005B1C55"/>
    <w:rsid w:val="005B1CAD"/>
    <w:rsid w:val="005B4BD3"/>
    <w:rsid w:val="005C4975"/>
    <w:rsid w:val="005C71BA"/>
    <w:rsid w:val="005C769E"/>
    <w:rsid w:val="005D51E6"/>
    <w:rsid w:val="005E04E9"/>
    <w:rsid w:val="005E06D7"/>
    <w:rsid w:val="005E2961"/>
    <w:rsid w:val="005E3EF0"/>
    <w:rsid w:val="005E4A20"/>
    <w:rsid w:val="005E5E60"/>
    <w:rsid w:val="005E6B4D"/>
    <w:rsid w:val="005F0BCF"/>
    <w:rsid w:val="005F75FB"/>
    <w:rsid w:val="005F7A21"/>
    <w:rsid w:val="006004B0"/>
    <w:rsid w:val="0060157A"/>
    <w:rsid w:val="00601A9E"/>
    <w:rsid w:val="00602B32"/>
    <w:rsid w:val="00605BF3"/>
    <w:rsid w:val="00606136"/>
    <w:rsid w:val="00611942"/>
    <w:rsid w:val="00621C60"/>
    <w:rsid w:val="00622267"/>
    <w:rsid w:val="006242C5"/>
    <w:rsid w:val="00624A08"/>
    <w:rsid w:val="00627C02"/>
    <w:rsid w:val="00632698"/>
    <w:rsid w:val="00633705"/>
    <w:rsid w:val="0063470B"/>
    <w:rsid w:val="00636D3A"/>
    <w:rsid w:val="006419B6"/>
    <w:rsid w:val="00643687"/>
    <w:rsid w:val="0064475D"/>
    <w:rsid w:val="00646F3D"/>
    <w:rsid w:val="00646F54"/>
    <w:rsid w:val="00647102"/>
    <w:rsid w:val="00650B2F"/>
    <w:rsid w:val="00652402"/>
    <w:rsid w:val="006636FB"/>
    <w:rsid w:val="00665D3A"/>
    <w:rsid w:val="00666A73"/>
    <w:rsid w:val="00667DBF"/>
    <w:rsid w:val="00671850"/>
    <w:rsid w:val="00671F3B"/>
    <w:rsid w:val="006731FD"/>
    <w:rsid w:val="006741A9"/>
    <w:rsid w:val="00674A0A"/>
    <w:rsid w:val="00675B55"/>
    <w:rsid w:val="00684EDA"/>
    <w:rsid w:val="00687691"/>
    <w:rsid w:val="00687EDC"/>
    <w:rsid w:val="00691B55"/>
    <w:rsid w:val="00692FA7"/>
    <w:rsid w:val="00694B7F"/>
    <w:rsid w:val="006A1A3A"/>
    <w:rsid w:val="006A5929"/>
    <w:rsid w:val="006A5AE3"/>
    <w:rsid w:val="006B1D3A"/>
    <w:rsid w:val="006B2D21"/>
    <w:rsid w:val="006B31ED"/>
    <w:rsid w:val="006B712A"/>
    <w:rsid w:val="006C0FFE"/>
    <w:rsid w:val="006C21CA"/>
    <w:rsid w:val="006C4E85"/>
    <w:rsid w:val="006D2D99"/>
    <w:rsid w:val="006D4781"/>
    <w:rsid w:val="006D55A8"/>
    <w:rsid w:val="006D59AB"/>
    <w:rsid w:val="006D59E3"/>
    <w:rsid w:val="006E0B0D"/>
    <w:rsid w:val="006E2091"/>
    <w:rsid w:val="006E21FA"/>
    <w:rsid w:val="006E27C4"/>
    <w:rsid w:val="006E60C1"/>
    <w:rsid w:val="006E72B3"/>
    <w:rsid w:val="006F2625"/>
    <w:rsid w:val="006F5575"/>
    <w:rsid w:val="006F5706"/>
    <w:rsid w:val="006F6415"/>
    <w:rsid w:val="007018E1"/>
    <w:rsid w:val="007058AA"/>
    <w:rsid w:val="00707E89"/>
    <w:rsid w:val="00710F74"/>
    <w:rsid w:val="007126E2"/>
    <w:rsid w:val="007150C2"/>
    <w:rsid w:val="00716872"/>
    <w:rsid w:val="00722A94"/>
    <w:rsid w:val="00725F17"/>
    <w:rsid w:val="00727A13"/>
    <w:rsid w:val="00732017"/>
    <w:rsid w:val="00734F25"/>
    <w:rsid w:val="007356F8"/>
    <w:rsid w:val="00735F76"/>
    <w:rsid w:val="00736265"/>
    <w:rsid w:val="00737E35"/>
    <w:rsid w:val="00741DC1"/>
    <w:rsid w:val="00743EF2"/>
    <w:rsid w:val="00745390"/>
    <w:rsid w:val="0074563C"/>
    <w:rsid w:val="0074569E"/>
    <w:rsid w:val="00745A6E"/>
    <w:rsid w:val="00746776"/>
    <w:rsid w:val="00751177"/>
    <w:rsid w:val="0075187A"/>
    <w:rsid w:val="00751BDC"/>
    <w:rsid w:val="00757A3E"/>
    <w:rsid w:val="007600D3"/>
    <w:rsid w:val="00760103"/>
    <w:rsid w:val="00761FD6"/>
    <w:rsid w:val="00762061"/>
    <w:rsid w:val="00765AF6"/>
    <w:rsid w:val="007671D1"/>
    <w:rsid w:val="007707A7"/>
    <w:rsid w:val="00771BA5"/>
    <w:rsid w:val="00771C11"/>
    <w:rsid w:val="00772F2D"/>
    <w:rsid w:val="00775904"/>
    <w:rsid w:val="0078035A"/>
    <w:rsid w:val="00780406"/>
    <w:rsid w:val="007806C7"/>
    <w:rsid w:val="0078211A"/>
    <w:rsid w:val="0078350B"/>
    <w:rsid w:val="007870BC"/>
    <w:rsid w:val="00792545"/>
    <w:rsid w:val="007941C9"/>
    <w:rsid w:val="00795BEC"/>
    <w:rsid w:val="00796C3D"/>
    <w:rsid w:val="007A2CDE"/>
    <w:rsid w:val="007A33C2"/>
    <w:rsid w:val="007A41F8"/>
    <w:rsid w:val="007A66CF"/>
    <w:rsid w:val="007A75E6"/>
    <w:rsid w:val="007B1D89"/>
    <w:rsid w:val="007B78EA"/>
    <w:rsid w:val="007C0F13"/>
    <w:rsid w:val="007C3906"/>
    <w:rsid w:val="007C5DDC"/>
    <w:rsid w:val="007C6DA3"/>
    <w:rsid w:val="007D0C4F"/>
    <w:rsid w:val="007D4983"/>
    <w:rsid w:val="007D52C6"/>
    <w:rsid w:val="007E00CD"/>
    <w:rsid w:val="007E1314"/>
    <w:rsid w:val="007F2C65"/>
    <w:rsid w:val="007F6165"/>
    <w:rsid w:val="00801730"/>
    <w:rsid w:val="00806668"/>
    <w:rsid w:val="008078CC"/>
    <w:rsid w:val="0081151B"/>
    <w:rsid w:val="00813877"/>
    <w:rsid w:val="00813D90"/>
    <w:rsid w:val="00815999"/>
    <w:rsid w:val="00816D74"/>
    <w:rsid w:val="00820B57"/>
    <w:rsid w:val="008217C6"/>
    <w:rsid w:val="00822180"/>
    <w:rsid w:val="00823029"/>
    <w:rsid w:val="00824C43"/>
    <w:rsid w:val="008254F4"/>
    <w:rsid w:val="00827DD6"/>
    <w:rsid w:val="00832387"/>
    <w:rsid w:val="00834C21"/>
    <w:rsid w:val="008421E2"/>
    <w:rsid w:val="00842D2D"/>
    <w:rsid w:val="00843805"/>
    <w:rsid w:val="00844419"/>
    <w:rsid w:val="00846947"/>
    <w:rsid w:val="00846FA9"/>
    <w:rsid w:val="00852E82"/>
    <w:rsid w:val="00864DD7"/>
    <w:rsid w:val="008650E2"/>
    <w:rsid w:val="00866404"/>
    <w:rsid w:val="008710A0"/>
    <w:rsid w:val="00872646"/>
    <w:rsid w:val="00872701"/>
    <w:rsid w:val="00875E8C"/>
    <w:rsid w:val="008855EA"/>
    <w:rsid w:val="00885E2D"/>
    <w:rsid w:val="00891075"/>
    <w:rsid w:val="00895BCC"/>
    <w:rsid w:val="00896105"/>
    <w:rsid w:val="00897129"/>
    <w:rsid w:val="008B2601"/>
    <w:rsid w:val="008B2925"/>
    <w:rsid w:val="008B39F0"/>
    <w:rsid w:val="008B4CDD"/>
    <w:rsid w:val="008B61D9"/>
    <w:rsid w:val="008C1E7F"/>
    <w:rsid w:val="008C1FD8"/>
    <w:rsid w:val="008C31A8"/>
    <w:rsid w:val="008C4FC0"/>
    <w:rsid w:val="008C5B2F"/>
    <w:rsid w:val="008C6608"/>
    <w:rsid w:val="008C6D8E"/>
    <w:rsid w:val="008C6F1D"/>
    <w:rsid w:val="008D0ED5"/>
    <w:rsid w:val="008D2132"/>
    <w:rsid w:val="008D2708"/>
    <w:rsid w:val="008D2B2E"/>
    <w:rsid w:val="008D7B64"/>
    <w:rsid w:val="008E02C4"/>
    <w:rsid w:val="008E1EC4"/>
    <w:rsid w:val="008E562C"/>
    <w:rsid w:val="008F0D5B"/>
    <w:rsid w:val="0090515C"/>
    <w:rsid w:val="009057BC"/>
    <w:rsid w:val="00907FA8"/>
    <w:rsid w:val="009104B4"/>
    <w:rsid w:val="00912E67"/>
    <w:rsid w:val="0091347D"/>
    <w:rsid w:val="00925D75"/>
    <w:rsid w:val="00926829"/>
    <w:rsid w:val="009276C9"/>
    <w:rsid w:val="009319B4"/>
    <w:rsid w:val="009322A6"/>
    <w:rsid w:val="00937196"/>
    <w:rsid w:val="00937C60"/>
    <w:rsid w:val="0094488F"/>
    <w:rsid w:val="00946A1E"/>
    <w:rsid w:val="00947ACE"/>
    <w:rsid w:val="00951B64"/>
    <w:rsid w:val="00953C33"/>
    <w:rsid w:val="00957574"/>
    <w:rsid w:val="0096192A"/>
    <w:rsid w:val="00964D2D"/>
    <w:rsid w:val="009660E8"/>
    <w:rsid w:val="00966830"/>
    <w:rsid w:val="0097017E"/>
    <w:rsid w:val="00970FB5"/>
    <w:rsid w:val="00972F6D"/>
    <w:rsid w:val="009741A7"/>
    <w:rsid w:val="0097559C"/>
    <w:rsid w:val="00976CED"/>
    <w:rsid w:val="00982254"/>
    <w:rsid w:val="00983928"/>
    <w:rsid w:val="00983F9A"/>
    <w:rsid w:val="00984D80"/>
    <w:rsid w:val="009875A6"/>
    <w:rsid w:val="00990381"/>
    <w:rsid w:val="009925D8"/>
    <w:rsid w:val="009977C8"/>
    <w:rsid w:val="009A4270"/>
    <w:rsid w:val="009A4D68"/>
    <w:rsid w:val="009A4EE8"/>
    <w:rsid w:val="009A6254"/>
    <w:rsid w:val="009A6E2F"/>
    <w:rsid w:val="009B6FC7"/>
    <w:rsid w:val="009C51BC"/>
    <w:rsid w:val="009C623D"/>
    <w:rsid w:val="009D0AE6"/>
    <w:rsid w:val="009D3F69"/>
    <w:rsid w:val="009E4367"/>
    <w:rsid w:val="009E5347"/>
    <w:rsid w:val="009E7C3D"/>
    <w:rsid w:val="009F10B8"/>
    <w:rsid w:val="009F11C3"/>
    <w:rsid w:val="009F1876"/>
    <w:rsid w:val="009F22D1"/>
    <w:rsid w:val="009F2B15"/>
    <w:rsid w:val="009F2F83"/>
    <w:rsid w:val="009F3240"/>
    <w:rsid w:val="009F6D61"/>
    <w:rsid w:val="009F7BF0"/>
    <w:rsid w:val="00A00B8F"/>
    <w:rsid w:val="00A01B3B"/>
    <w:rsid w:val="00A051C7"/>
    <w:rsid w:val="00A077A5"/>
    <w:rsid w:val="00A10632"/>
    <w:rsid w:val="00A1506F"/>
    <w:rsid w:val="00A1630F"/>
    <w:rsid w:val="00A20148"/>
    <w:rsid w:val="00A20C03"/>
    <w:rsid w:val="00A26E41"/>
    <w:rsid w:val="00A27248"/>
    <w:rsid w:val="00A33479"/>
    <w:rsid w:val="00A36134"/>
    <w:rsid w:val="00A365E8"/>
    <w:rsid w:val="00A37BA9"/>
    <w:rsid w:val="00A413F1"/>
    <w:rsid w:val="00A416B9"/>
    <w:rsid w:val="00A439D6"/>
    <w:rsid w:val="00A43BC0"/>
    <w:rsid w:val="00A442F1"/>
    <w:rsid w:val="00A452C0"/>
    <w:rsid w:val="00A454A6"/>
    <w:rsid w:val="00A45679"/>
    <w:rsid w:val="00A52412"/>
    <w:rsid w:val="00A53369"/>
    <w:rsid w:val="00A63AE9"/>
    <w:rsid w:val="00A6730D"/>
    <w:rsid w:val="00A71B4C"/>
    <w:rsid w:val="00A7218A"/>
    <w:rsid w:val="00A72BCF"/>
    <w:rsid w:val="00A77853"/>
    <w:rsid w:val="00A80A62"/>
    <w:rsid w:val="00A8755D"/>
    <w:rsid w:val="00A91F47"/>
    <w:rsid w:val="00A93758"/>
    <w:rsid w:val="00A95B49"/>
    <w:rsid w:val="00A97E62"/>
    <w:rsid w:val="00AA2F71"/>
    <w:rsid w:val="00AA3672"/>
    <w:rsid w:val="00AA38C7"/>
    <w:rsid w:val="00AA3D14"/>
    <w:rsid w:val="00AA420F"/>
    <w:rsid w:val="00AA4991"/>
    <w:rsid w:val="00AA59ED"/>
    <w:rsid w:val="00AB19F2"/>
    <w:rsid w:val="00AB1D14"/>
    <w:rsid w:val="00AB451C"/>
    <w:rsid w:val="00AB47EC"/>
    <w:rsid w:val="00AB6BF3"/>
    <w:rsid w:val="00AC1347"/>
    <w:rsid w:val="00AC5036"/>
    <w:rsid w:val="00AC506A"/>
    <w:rsid w:val="00AD24D8"/>
    <w:rsid w:val="00AD2E9F"/>
    <w:rsid w:val="00AD5662"/>
    <w:rsid w:val="00AE2DF9"/>
    <w:rsid w:val="00AE3BDF"/>
    <w:rsid w:val="00AF01F4"/>
    <w:rsid w:val="00AF34B5"/>
    <w:rsid w:val="00AF498D"/>
    <w:rsid w:val="00AF73F1"/>
    <w:rsid w:val="00B06C4A"/>
    <w:rsid w:val="00B07F31"/>
    <w:rsid w:val="00B1055B"/>
    <w:rsid w:val="00B12488"/>
    <w:rsid w:val="00B127D0"/>
    <w:rsid w:val="00B1286D"/>
    <w:rsid w:val="00B1526F"/>
    <w:rsid w:val="00B15581"/>
    <w:rsid w:val="00B2087A"/>
    <w:rsid w:val="00B211EE"/>
    <w:rsid w:val="00B24FC9"/>
    <w:rsid w:val="00B25628"/>
    <w:rsid w:val="00B26878"/>
    <w:rsid w:val="00B30848"/>
    <w:rsid w:val="00B32F4F"/>
    <w:rsid w:val="00B3322D"/>
    <w:rsid w:val="00B360A3"/>
    <w:rsid w:val="00B37F48"/>
    <w:rsid w:val="00B4016D"/>
    <w:rsid w:val="00B41636"/>
    <w:rsid w:val="00B418CB"/>
    <w:rsid w:val="00B4461E"/>
    <w:rsid w:val="00B518AB"/>
    <w:rsid w:val="00B51AE5"/>
    <w:rsid w:val="00B539DA"/>
    <w:rsid w:val="00B543C4"/>
    <w:rsid w:val="00B55917"/>
    <w:rsid w:val="00B56D02"/>
    <w:rsid w:val="00B60C56"/>
    <w:rsid w:val="00B60F6C"/>
    <w:rsid w:val="00B61045"/>
    <w:rsid w:val="00B627F4"/>
    <w:rsid w:val="00B651CA"/>
    <w:rsid w:val="00B654BE"/>
    <w:rsid w:val="00B65D29"/>
    <w:rsid w:val="00B65F23"/>
    <w:rsid w:val="00B7039D"/>
    <w:rsid w:val="00B71A88"/>
    <w:rsid w:val="00B72CFC"/>
    <w:rsid w:val="00B7359B"/>
    <w:rsid w:val="00B748F1"/>
    <w:rsid w:val="00B82466"/>
    <w:rsid w:val="00B82F49"/>
    <w:rsid w:val="00B8631A"/>
    <w:rsid w:val="00B94A09"/>
    <w:rsid w:val="00B96E17"/>
    <w:rsid w:val="00B9755E"/>
    <w:rsid w:val="00B97C63"/>
    <w:rsid w:val="00BA0161"/>
    <w:rsid w:val="00BB081F"/>
    <w:rsid w:val="00BB1493"/>
    <w:rsid w:val="00BB3421"/>
    <w:rsid w:val="00BB58EE"/>
    <w:rsid w:val="00BB787C"/>
    <w:rsid w:val="00BC42AC"/>
    <w:rsid w:val="00BC6965"/>
    <w:rsid w:val="00BD373C"/>
    <w:rsid w:val="00BD40C7"/>
    <w:rsid w:val="00BE0FC3"/>
    <w:rsid w:val="00BE3A39"/>
    <w:rsid w:val="00BF46FB"/>
    <w:rsid w:val="00BF5833"/>
    <w:rsid w:val="00BF66A0"/>
    <w:rsid w:val="00BF7D4F"/>
    <w:rsid w:val="00C01ED2"/>
    <w:rsid w:val="00C03EF9"/>
    <w:rsid w:val="00C1189D"/>
    <w:rsid w:val="00C1276F"/>
    <w:rsid w:val="00C1307F"/>
    <w:rsid w:val="00C1361B"/>
    <w:rsid w:val="00C14BFA"/>
    <w:rsid w:val="00C17D46"/>
    <w:rsid w:val="00C21503"/>
    <w:rsid w:val="00C23D4A"/>
    <w:rsid w:val="00C252BB"/>
    <w:rsid w:val="00C25414"/>
    <w:rsid w:val="00C254CD"/>
    <w:rsid w:val="00C26431"/>
    <w:rsid w:val="00C32B15"/>
    <w:rsid w:val="00C3438C"/>
    <w:rsid w:val="00C447DD"/>
    <w:rsid w:val="00C45749"/>
    <w:rsid w:val="00C51783"/>
    <w:rsid w:val="00C52050"/>
    <w:rsid w:val="00C5265B"/>
    <w:rsid w:val="00C53709"/>
    <w:rsid w:val="00C537B3"/>
    <w:rsid w:val="00C55259"/>
    <w:rsid w:val="00C635BB"/>
    <w:rsid w:val="00C6402A"/>
    <w:rsid w:val="00C672D2"/>
    <w:rsid w:val="00C703B3"/>
    <w:rsid w:val="00C70BB4"/>
    <w:rsid w:val="00C70BCA"/>
    <w:rsid w:val="00C81CB5"/>
    <w:rsid w:val="00C820FD"/>
    <w:rsid w:val="00C8433D"/>
    <w:rsid w:val="00C87473"/>
    <w:rsid w:val="00C87C20"/>
    <w:rsid w:val="00C90CB1"/>
    <w:rsid w:val="00C90CC6"/>
    <w:rsid w:val="00C90EB9"/>
    <w:rsid w:val="00C95601"/>
    <w:rsid w:val="00C95D8F"/>
    <w:rsid w:val="00CA2198"/>
    <w:rsid w:val="00CA32D1"/>
    <w:rsid w:val="00CA400C"/>
    <w:rsid w:val="00CA64EF"/>
    <w:rsid w:val="00CB0448"/>
    <w:rsid w:val="00CB0670"/>
    <w:rsid w:val="00CB1E84"/>
    <w:rsid w:val="00CB328B"/>
    <w:rsid w:val="00CB468A"/>
    <w:rsid w:val="00CB4B7D"/>
    <w:rsid w:val="00CC03AD"/>
    <w:rsid w:val="00CC60C8"/>
    <w:rsid w:val="00CC62A1"/>
    <w:rsid w:val="00CD003F"/>
    <w:rsid w:val="00CD2324"/>
    <w:rsid w:val="00CD2600"/>
    <w:rsid w:val="00CD79C8"/>
    <w:rsid w:val="00CD79F4"/>
    <w:rsid w:val="00CE0C57"/>
    <w:rsid w:val="00CE235E"/>
    <w:rsid w:val="00CE355B"/>
    <w:rsid w:val="00CE461F"/>
    <w:rsid w:val="00CE7583"/>
    <w:rsid w:val="00CF31F1"/>
    <w:rsid w:val="00CF520D"/>
    <w:rsid w:val="00D03514"/>
    <w:rsid w:val="00D037E8"/>
    <w:rsid w:val="00D03D68"/>
    <w:rsid w:val="00D04736"/>
    <w:rsid w:val="00D069FC"/>
    <w:rsid w:val="00D10583"/>
    <w:rsid w:val="00D14624"/>
    <w:rsid w:val="00D14631"/>
    <w:rsid w:val="00D176A1"/>
    <w:rsid w:val="00D23917"/>
    <w:rsid w:val="00D23E46"/>
    <w:rsid w:val="00D25C28"/>
    <w:rsid w:val="00D2736F"/>
    <w:rsid w:val="00D3533F"/>
    <w:rsid w:val="00D37CDE"/>
    <w:rsid w:val="00D431AA"/>
    <w:rsid w:val="00D57BAA"/>
    <w:rsid w:val="00D60140"/>
    <w:rsid w:val="00D62551"/>
    <w:rsid w:val="00D648E0"/>
    <w:rsid w:val="00D658AA"/>
    <w:rsid w:val="00D73E56"/>
    <w:rsid w:val="00D745ED"/>
    <w:rsid w:val="00D80217"/>
    <w:rsid w:val="00D848C7"/>
    <w:rsid w:val="00D84A68"/>
    <w:rsid w:val="00D87279"/>
    <w:rsid w:val="00D9038C"/>
    <w:rsid w:val="00D93253"/>
    <w:rsid w:val="00D9682D"/>
    <w:rsid w:val="00DA20BD"/>
    <w:rsid w:val="00DB1838"/>
    <w:rsid w:val="00DB38CF"/>
    <w:rsid w:val="00DB49F7"/>
    <w:rsid w:val="00DB7DDB"/>
    <w:rsid w:val="00DC57AD"/>
    <w:rsid w:val="00DD1603"/>
    <w:rsid w:val="00DD5265"/>
    <w:rsid w:val="00DD5D58"/>
    <w:rsid w:val="00DE386C"/>
    <w:rsid w:val="00DE3EEE"/>
    <w:rsid w:val="00DE544B"/>
    <w:rsid w:val="00DE60B1"/>
    <w:rsid w:val="00DE69C4"/>
    <w:rsid w:val="00DF4494"/>
    <w:rsid w:val="00DF5BE8"/>
    <w:rsid w:val="00DF615C"/>
    <w:rsid w:val="00E00F05"/>
    <w:rsid w:val="00E0102A"/>
    <w:rsid w:val="00E01933"/>
    <w:rsid w:val="00E01EA1"/>
    <w:rsid w:val="00E02DA3"/>
    <w:rsid w:val="00E04BBB"/>
    <w:rsid w:val="00E04F0C"/>
    <w:rsid w:val="00E063F9"/>
    <w:rsid w:val="00E13FF5"/>
    <w:rsid w:val="00E1490B"/>
    <w:rsid w:val="00E14BD9"/>
    <w:rsid w:val="00E23667"/>
    <w:rsid w:val="00E25547"/>
    <w:rsid w:val="00E308A4"/>
    <w:rsid w:val="00E32398"/>
    <w:rsid w:val="00E357C9"/>
    <w:rsid w:val="00E367C4"/>
    <w:rsid w:val="00E36E09"/>
    <w:rsid w:val="00E41D21"/>
    <w:rsid w:val="00E4408D"/>
    <w:rsid w:val="00E47A9F"/>
    <w:rsid w:val="00E507FC"/>
    <w:rsid w:val="00E52164"/>
    <w:rsid w:val="00E53038"/>
    <w:rsid w:val="00E553F9"/>
    <w:rsid w:val="00E56107"/>
    <w:rsid w:val="00E5740A"/>
    <w:rsid w:val="00E60B7A"/>
    <w:rsid w:val="00E62681"/>
    <w:rsid w:val="00E62CDC"/>
    <w:rsid w:val="00E642D0"/>
    <w:rsid w:val="00E72B0D"/>
    <w:rsid w:val="00E7364D"/>
    <w:rsid w:val="00E7500D"/>
    <w:rsid w:val="00E821DC"/>
    <w:rsid w:val="00E85264"/>
    <w:rsid w:val="00E85DDF"/>
    <w:rsid w:val="00E85F43"/>
    <w:rsid w:val="00E874E4"/>
    <w:rsid w:val="00E906A1"/>
    <w:rsid w:val="00E91D22"/>
    <w:rsid w:val="00E94174"/>
    <w:rsid w:val="00E96D77"/>
    <w:rsid w:val="00E970D4"/>
    <w:rsid w:val="00E97EAB"/>
    <w:rsid w:val="00EA147D"/>
    <w:rsid w:val="00EA2BB2"/>
    <w:rsid w:val="00EA39DA"/>
    <w:rsid w:val="00EA4FD3"/>
    <w:rsid w:val="00EB152E"/>
    <w:rsid w:val="00EB36BA"/>
    <w:rsid w:val="00EB43D4"/>
    <w:rsid w:val="00EC05D9"/>
    <w:rsid w:val="00EC0B73"/>
    <w:rsid w:val="00EC2BF2"/>
    <w:rsid w:val="00EC44DF"/>
    <w:rsid w:val="00EE051D"/>
    <w:rsid w:val="00EE0B4F"/>
    <w:rsid w:val="00EE0DF6"/>
    <w:rsid w:val="00EE1187"/>
    <w:rsid w:val="00EE1DCA"/>
    <w:rsid w:val="00EE239B"/>
    <w:rsid w:val="00EE3F09"/>
    <w:rsid w:val="00EE5002"/>
    <w:rsid w:val="00EF1B41"/>
    <w:rsid w:val="00EF3167"/>
    <w:rsid w:val="00EF5109"/>
    <w:rsid w:val="00EF576D"/>
    <w:rsid w:val="00EF6553"/>
    <w:rsid w:val="00EF73D5"/>
    <w:rsid w:val="00F021AF"/>
    <w:rsid w:val="00F03CDD"/>
    <w:rsid w:val="00F03F18"/>
    <w:rsid w:val="00F11B7D"/>
    <w:rsid w:val="00F13C5D"/>
    <w:rsid w:val="00F13EA1"/>
    <w:rsid w:val="00F15249"/>
    <w:rsid w:val="00F165B3"/>
    <w:rsid w:val="00F17456"/>
    <w:rsid w:val="00F202AA"/>
    <w:rsid w:val="00F24770"/>
    <w:rsid w:val="00F26FB2"/>
    <w:rsid w:val="00F307B4"/>
    <w:rsid w:val="00F31F70"/>
    <w:rsid w:val="00F33175"/>
    <w:rsid w:val="00F35C2E"/>
    <w:rsid w:val="00F40836"/>
    <w:rsid w:val="00F42629"/>
    <w:rsid w:val="00F4358A"/>
    <w:rsid w:val="00F44EED"/>
    <w:rsid w:val="00F454BA"/>
    <w:rsid w:val="00F51C1A"/>
    <w:rsid w:val="00F532F8"/>
    <w:rsid w:val="00F552F2"/>
    <w:rsid w:val="00F6292E"/>
    <w:rsid w:val="00F6673B"/>
    <w:rsid w:val="00F6768D"/>
    <w:rsid w:val="00F711A4"/>
    <w:rsid w:val="00F72413"/>
    <w:rsid w:val="00F75F6A"/>
    <w:rsid w:val="00F81A4A"/>
    <w:rsid w:val="00F82E69"/>
    <w:rsid w:val="00F861DD"/>
    <w:rsid w:val="00F86EC2"/>
    <w:rsid w:val="00F873F9"/>
    <w:rsid w:val="00F87EF6"/>
    <w:rsid w:val="00FA260C"/>
    <w:rsid w:val="00FA3796"/>
    <w:rsid w:val="00FA44CD"/>
    <w:rsid w:val="00FA550D"/>
    <w:rsid w:val="00FA6AC8"/>
    <w:rsid w:val="00FA7AB2"/>
    <w:rsid w:val="00FC3C97"/>
    <w:rsid w:val="00FD0C15"/>
    <w:rsid w:val="00FD3462"/>
    <w:rsid w:val="00FD4D82"/>
    <w:rsid w:val="00FE38A7"/>
    <w:rsid w:val="00FE4A4A"/>
    <w:rsid w:val="00FF2CFD"/>
    <w:rsid w:val="00FF382F"/>
    <w:rsid w:val="01232BB6"/>
    <w:rsid w:val="01253AED"/>
    <w:rsid w:val="0136557F"/>
    <w:rsid w:val="01493759"/>
    <w:rsid w:val="014C6B51"/>
    <w:rsid w:val="01583BEB"/>
    <w:rsid w:val="01606681"/>
    <w:rsid w:val="016A6FD7"/>
    <w:rsid w:val="018C0207"/>
    <w:rsid w:val="01A43626"/>
    <w:rsid w:val="01AF073E"/>
    <w:rsid w:val="01BA2D0E"/>
    <w:rsid w:val="01CD3D67"/>
    <w:rsid w:val="01D63415"/>
    <w:rsid w:val="02044B63"/>
    <w:rsid w:val="022477EB"/>
    <w:rsid w:val="023575E5"/>
    <w:rsid w:val="028A70DC"/>
    <w:rsid w:val="02A1111E"/>
    <w:rsid w:val="02B57FFD"/>
    <w:rsid w:val="02CB6808"/>
    <w:rsid w:val="02F20353"/>
    <w:rsid w:val="02F30994"/>
    <w:rsid w:val="037C5A90"/>
    <w:rsid w:val="037C7496"/>
    <w:rsid w:val="03AD58A1"/>
    <w:rsid w:val="03AF4B72"/>
    <w:rsid w:val="03DE78EB"/>
    <w:rsid w:val="03F94558"/>
    <w:rsid w:val="040556DD"/>
    <w:rsid w:val="04112E70"/>
    <w:rsid w:val="04173849"/>
    <w:rsid w:val="04361CE9"/>
    <w:rsid w:val="04553F6E"/>
    <w:rsid w:val="045A77D7"/>
    <w:rsid w:val="04642403"/>
    <w:rsid w:val="047D5273"/>
    <w:rsid w:val="04B36EE7"/>
    <w:rsid w:val="04C904B8"/>
    <w:rsid w:val="04EA0D61"/>
    <w:rsid w:val="051554AC"/>
    <w:rsid w:val="05355B4E"/>
    <w:rsid w:val="05482C14"/>
    <w:rsid w:val="05542478"/>
    <w:rsid w:val="05614589"/>
    <w:rsid w:val="05634D30"/>
    <w:rsid w:val="05656433"/>
    <w:rsid w:val="056F2E0E"/>
    <w:rsid w:val="05971474"/>
    <w:rsid w:val="05A013AD"/>
    <w:rsid w:val="05A03C02"/>
    <w:rsid w:val="05BE78F1"/>
    <w:rsid w:val="05E5390F"/>
    <w:rsid w:val="05FC7810"/>
    <w:rsid w:val="05FF7E10"/>
    <w:rsid w:val="060433ED"/>
    <w:rsid w:val="06083F6F"/>
    <w:rsid w:val="062749A5"/>
    <w:rsid w:val="062956B3"/>
    <w:rsid w:val="063969B5"/>
    <w:rsid w:val="06583070"/>
    <w:rsid w:val="065E3568"/>
    <w:rsid w:val="068476B8"/>
    <w:rsid w:val="06BD79D4"/>
    <w:rsid w:val="071978EF"/>
    <w:rsid w:val="071F0864"/>
    <w:rsid w:val="073C67FA"/>
    <w:rsid w:val="07481B68"/>
    <w:rsid w:val="074C4F72"/>
    <w:rsid w:val="07527B34"/>
    <w:rsid w:val="07654438"/>
    <w:rsid w:val="07E75BBA"/>
    <w:rsid w:val="07F41977"/>
    <w:rsid w:val="07F92E63"/>
    <w:rsid w:val="08145EEF"/>
    <w:rsid w:val="086D303F"/>
    <w:rsid w:val="087B3DD5"/>
    <w:rsid w:val="08BB3B65"/>
    <w:rsid w:val="08E07B13"/>
    <w:rsid w:val="08EF7851"/>
    <w:rsid w:val="09574037"/>
    <w:rsid w:val="095D3C6C"/>
    <w:rsid w:val="09860825"/>
    <w:rsid w:val="098826F0"/>
    <w:rsid w:val="099B5E8A"/>
    <w:rsid w:val="099B7F97"/>
    <w:rsid w:val="09BA5CCB"/>
    <w:rsid w:val="09D927D9"/>
    <w:rsid w:val="09F20D22"/>
    <w:rsid w:val="0A0B5C58"/>
    <w:rsid w:val="0A1A33A2"/>
    <w:rsid w:val="0A1E6503"/>
    <w:rsid w:val="0A395029"/>
    <w:rsid w:val="0A741ABC"/>
    <w:rsid w:val="0A7809B7"/>
    <w:rsid w:val="0AC57974"/>
    <w:rsid w:val="0AD81455"/>
    <w:rsid w:val="0B064214"/>
    <w:rsid w:val="0B0C55A3"/>
    <w:rsid w:val="0B304DED"/>
    <w:rsid w:val="0B446B0D"/>
    <w:rsid w:val="0B5331D2"/>
    <w:rsid w:val="0B580014"/>
    <w:rsid w:val="0B73117E"/>
    <w:rsid w:val="0B97713F"/>
    <w:rsid w:val="0B9C6927"/>
    <w:rsid w:val="0BA3471D"/>
    <w:rsid w:val="0BB023D2"/>
    <w:rsid w:val="0C01720B"/>
    <w:rsid w:val="0C2D757F"/>
    <w:rsid w:val="0C34090D"/>
    <w:rsid w:val="0C42368E"/>
    <w:rsid w:val="0CA61969"/>
    <w:rsid w:val="0CBE43EA"/>
    <w:rsid w:val="0CC426B6"/>
    <w:rsid w:val="0CCB23AD"/>
    <w:rsid w:val="0CD90B9D"/>
    <w:rsid w:val="0CF03566"/>
    <w:rsid w:val="0D084003"/>
    <w:rsid w:val="0D0F4ED6"/>
    <w:rsid w:val="0D1723D3"/>
    <w:rsid w:val="0D2A5754"/>
    <w:rsid w:val="0D501777"/>
    <w:rsid w:val="0D5D1E8C"/>
    <w:rsid w:val="0D5D3161"/>
    <w:rsid w:val="0D607FC1"/>
    <w:rsid w:val="0D7262AB"/>
    <w:rsid w:val="0D976E33"/>
    <w:rsid w:val="0D980BAC"/>
    <w:rsid w:val="0DA264CF"/>
    <w:rsid w:val="0DF361B7"/>
    <w:rsid w:val="0DFA0D23"/>
    <w:rsid w:val="0E0A5DCA"/>
    <w:rsid w:val="0E292D96"/>
    <w:rsid w:val="0EA53D44"/>
    <w:rsid w:val="0EB60EF1"/>
    <w:rsid w:val="0EB65F51"/>
    <w:rsid w:val="0ED67855"/>
    <w:rsid w:val="0EDF297E"/>
    <w:rsid w:val="0EE75788"/>
    <w:rsid w:val="0EF80318"/>
    <w:rsid w:val="0F0071CD"/>
    <w:rsid w:val="0F0072D1"/>
    <w:rsid w:val="0F04642E"/>
    <w:rsid w:val="0F2C3520"/>
    <w:rsid w:val="0F4B3AFE"/>
    <w:rsid w:val="0F504020"/>
    <w:rsid w:val="0F523506"/>
    <w:rsid w:val="0F6A06C1"/>
    <w:rsid w:val="0F87199F"/>
    <w:rsid w:val="0F8E6586"/>
    <w:rsid w:val="0FB444F6"/>
    <w:rsid w:val="0FC261B6"/>
    <w:rsid w:val="0FDA17CC"/>
    <w:rsid w:val="0FE65AF3"/>
    <w:rsid w:val="0FF76840"/>
    <w:rsid w:val="0FFD2FC7"/>
    <w:rsid w:val="10025E26"/>
    <w:rsid w:val="10077668"/>
    <w:rsid w:val="101E336C"/>
    <w:rsid w:val="10371FAE"/>
    <w:rsid w:val="108F171E"/>
    <w:rsid w:val="1092654A"/>
    <w:rsid w:val="109D51FF"/>
    <w:rsid w:val="10A32E6F"/>
    <w:rsid w:val="10AA520D"/>
    <w:rsid w:val="10AD0C8E"/>
    <w:rsid w:val="10B924E2"/>
    <w:rsid w:val="10E70644"/>
    <w:rsid w:val="10FB46E8"/>
    <w:rsid w:val="110805BA"/>
    <w:rsid w:val="11140D0D"/>
    <w:rsid w:val="11154B45"/>
    <w:rsid w:val="11405FA6"/>
    <w:rsid w:val="11661D68"/>
    <w:rsid w:val="116E6670"/>
    <w:rsid w:val="11743B34"/>
    <w:rsid w:val="119943FA"/>
    <w:rsid w:val="11A4582F"/>
    <w:rsid w:val="11B11E9E"/>
    <w:rsid w:val="11B22C0D"/>
    <w:rsid w:val="11B60016"/>
    <w:rsid w:val="11BC387F"/>
    <w:rsid w:val="11BE6092"/>
    <w:rsid w:val="11F1104F"/>
    <w:rsid w:val="11F46E20"/>
    <w:rsid w:val="12036E1E"/>
    <w:rsid w:val="120C332E"/>
    <w:rsid w:val="121E588E"/>
    <w:rsid w:val="123922A5"/>
    <w:rsid w:val="12901F23"/>
    <w:rsid w:val="12906AB9"/>
    <w:rsid w:val="12A165D1"/>
    <w:rsid w:val="130017AB"/>
    <w:rsid w:val="132679A8"/>
    <w:rsid w:val="13426006"/>
    <w:rsid w:val="1374617A"/>
    <w:rsid w:val="13A147D1"/>
    <w:rsid w:val="13AB3A33"/>
    <w:rsid w:val="13DB1C76"/>
    <w:rsid w:val="13FA78F1"/>
    <w:rsid w:val="13FF3060"/>
    <w:rsid w:val="143628F2"/>
    <w:rsid w:val="14374823"/>
    <w:rsid w:val="14646D36"/>
    <w:rsid w:val="146B6327"/>
    <w:rsid w:val="146E3A58"/>
    <w:rsid w:val="148768D2"/>
    <w:rsid w:val="148B12E6"/>
    <w:rsid w:val="148F1EC3"/>
    <w:rsid w:val="14952100"/>
    <w:rsid w:val="14A40CBC"/>
    <w:rsid w:val="14AA763F"/>
    <w:rsid w:val="14B65F88"/>
    <w:rsid w:val="14D75EE6"/>
    <w:rsid w:val="14DA7E0A"/>
    <w:rsid w:val="14F64671"/>
    <w:rsid w:val="15146E9B"/>
    <w:rsid w:val="157B135B"/>
    <w:rsid w:val="1581434C"/>
    <w:rsid w:val="158A77F0"/>
    <w:rsid w:val="158F12AA"/>
    <w:rsid w:val="159348F7"/>
    <w:rsid w:val="15A946B3"/>
    <w:rsid w:val="15BB3E4D"/>
    <w:rsid w:val="15BD7BC5"/>
    <w:rsid w:val="15C3062F"/>
    <w:rsid w:val="15C415C8"/>
    <w:rsid w:val="16284070"/>
    <w:rsid w:val="163D4862"/>
    <w:rsid w:val="163D71D2"/>
    <w:rsid w:val="164E6A70"/>
    <w:rsid w:val="16585B40"/>
    <w:rsid w:val="166952DD"/>
    <w:rsid w:val="16E558F6"/>
    <w:rsid w:val="16E9738F"/>
    <w:rsid w:val="16F73264"/>
    <w:rsid w:val="17051584"/>
    <w:rsid w:val="173D7210"/>
    <w:rsid w:val="176035F0"/>
    <w:rsid w:val="1767151A"/>
    <w:rsid w:val="17671961"/>
    <w:rsid w:val="177249E0"/>
    <w:rsid w:val="17902B27"/>
    <w:rsid w:val="179351D0"/>
    <w:rsid w:val="179C1A6F"/>
    <w:rsid w:val="17A37341"/>
    <w:rsid w:val="17B266AC"/>
    <w:rsid w:val="17C40F07"/>
    <w:rsid w:val="17D1151D"/>
    <w:rsid w:val="17E867D2"/>
    <w:rsid w:val="17EF0167"/>
    <w:rsid w:val="17F74AA3"/>
    <w:rsid w:val="180C273E"/>
    <w:rsid w:val="180D49D4"/>
    <w:rsid w:val="183B1275"/>
    <w:rsid w:val="185F31B6"/>
    <w:rsid w:val="186407CC"/>
    <w:rsid w:val="18B31317"/>
    <w:rsid w:val="18BF5A7A"/>
    <w:rsid w:val="18CB12CC"/>
    <w:rsid w:val="18EE0096"/>
    <w:rsid w:val="192D0BD9"/>
    <w:rsid w:val="19670574"/>
    <w:rsid w:val="197864B9"/>
    <w:rsid w:val="19884D2F"/>
    <w:rsid w:val="19993273"/>
    <w:rsid w:val="199A63EE"/>
    <w:rsid w:val="19A47C8B"/>
    <w:rsid w:val="19CE1BBE"/>
    <w:rsid w:val="19CE6A7A"/>
    <w:rsid w:val="19D96F98"/>
    <w:rsid w:val="19DC576F"/>
    <w:rsid w:val="19E7EDCE"/>
    <w:rsid w:val="19E94BD8"/>
    <w:rsid w:val="1A044015"/>
    <w:rsid w:val="1A052EC4"/>
    <w:rsid w:val="1A1A55E6"/>
    <w:rsid w:val="1A2725F7"/>
    <w:rsid w:val="1A4E4694"/>
    <w:rsid w:val="1A716581"/>
    <w:rsid w:val="1A7221E4"/>
    <w:rsid w:val="1A732F49"/>
    <w:rsid w:val="1A9D1D74"/>
    <w:rsid w:val="1AA66E7A"/>
    <w:rsid w:val="1ABD2416"/>
    <w:rsid w:val="1B302E78"/>
    <w:rsid w:val="1B3C32E5"/>
    <w:rsid w:val="1B656D35"/>
    <w:rsid w:val="1B66485B"/>
    <w:rsid w:val="1B79633D"/>
    <w:rsid w:val="1BAB04C0"/>
    <w:rsid w:val="1BB17710"/>
    <w:rsid w:val="1BCB0206"/>
    <w:rsid w:val="1BCB4430"/>
    <w:rsid w:val="1BDB156D"/>
    <w:rsid w:val="1BEF5447"/>
    <w:rsid w:val="1C081F0D"/>
    <w:rsid w:val="1C477EB3"/>
    <w:rsid w:val="1C625023"/>
    <w:rsid w:val="1C7134B8"/>
    <w:rsid w:val="1CC373C8"/>
    <w:rsid w:val="1CD43FC7"/>
    <w:rsid w:val="1CFD2F9D"/>
    <w:rsid w:val="1D0C4B5B"/>
    <w:rsid w:val="1D28024C"/>
    <w:rsid w:val="1D5E34AD"/>
    <w:rsid w:val="1D660B43"/>
    <w:rsid w:val="1D6848BB"/>
    <w:rsid w:val="1D724738"/>
    <w:rsid w:val="1D772D50"/>
    <w:rsid w:val="1D7D55E2"/>
    <w:rsid w:val="1D962329"/>
    <w:rsid w:val="1DA5166B"/>
    <w:rsid w:val="1DC7681A"/>
    <w:rsid w:val="1DC855A0"/>
    <w:rsid w:val="1DFC7CA2"/>
    <w:rsid w:val="1E37428D"/>
    <w:rsid w:val="1E3E4AF2"/>
    <w:rsid w:val="1E66311A"/>
    <w:rsid w:val="1E8874BD"/>
    <w:rsid w:val="1E9C13CF"/>
    <w:rsid w:val="1EA9518B"/>
    <w:rsid w:val="1EB06662"/>
    <w:rsid w:val="1EBD0227"/>
    <w:rsid w:val="1EDB10BC"/>
    <w:rsid w:val="1EE514B6"/>
    <w:rsid w:val="1EF87C31"/>
    <w:rsid w:val="1F064F84"/>
    <w:rsid w:val="1F163863"/>
    <w:rsid w:val="1F244811"/>
    <w:rsid w:val="1F274302"/>
    <w:rsid w:val="1F3264FA"/>
    <w:rsid w:val="1F486B10"/>
    <w:rsid w:val="1F4A7082"/>
    <w:rsid w:val="1F7210AB"/>
    <w:rsid w:val="1F770DE5"/>
    <w:rsid w:val="1F7F5EEC"/>
    <w:rsid w:val="1FA0467D"/>
    <w:rsid w:val="1FA31BDA"/>
    <w:rsid w:val="1FD8548C"/>
    <w:rsid w:val="200B0FF7"/>
    <w:rsid w:val="202B57A1"/>
    <w:rsid w:val="203F6679"/>
    <w:rsid w:val="20651C60"/>
    <w:rsid w:val="207672EF"/>
    <w:rsid w:val="20814370"/>
    <w:rsid w:val="2091003A"/>
    <w:rsid w:val="20B06350"/>
    <w:rsid w:val="20C067BC"/>
    <w:rsid w:val="20C718F8"/>
    <w:rsid w:val="20DC7CCA"/>
    <w:rsid w:val="20E22BD6"/>
    <w:rsid w:val="20EC0F7D"/>
    <w:rsid w:val="20FA7150"/>
    <w:rsid w:val="212529CC"/>
    <w:rsid w:val="21545AEE"/>
    <w:rsid w:val="216830DB"/>
    <w:rsid w:val="216B02BD"/>
    <w:rsid w:val="216E32C3"/>
    <w:rsid w:val="21725D08"/>
    <w:rsid w:val="218B501C"/>
    <w:rsid w:val="21A50EDF"/>
    <w:rsid w:val="21A97A52"/>
    <w:rsid w:val="21B3606B"/>
    <w:rsid w:val="21D57FEF"/>
    <w:rsid w:val="220D2778"/>
    <w:rsid w:val="222608A0"/>
    <w:rsid w:val="226118D9"/>
    <w:rsid w:val="226E732D"/>
    <w:rsid w:val="22B317BF"/>
    <w:rsid w:val="22B53A3B"/>
    <w:rsid w:val="22FD03A5"/>
    <w:rsid w:val="231555AF"/>
    <w:rsid w:val="231D1BEF"/>
    <w:rsid w:val="232C38FC"/>
    <w:rsid w:val="233174FD"/>
    <w:rsid w:val="233D0598"/>
    <w:rsid w:val="23713D9D"/>
    <w:rsid w:val="23953F30"/>
    <w:rsid w:val="239A3610"/>
    <w:rsid w:val="23B24AE2"/>
    <w:rsid w:val="23E40A13"/>
    <w:rsid w:val="24210572"/>
    <w:rsid w:val="24246CBF"/>
    <w:rsid w:val="24316936"/>
    <w:rsid w:val="24455A0A"/>
    <w:rsid w:val="245C585D"/>
    <w:rsid w:val="2481129D"/>
    <w:rsid w:val="24925865"/>
    <w:rsid w:val="2497677C"/>
    <w:rsid w:val="24B222C6"/>
    <w:rsid w:val="24B506C7"/>
    <w:rsid w:val="24C5681F"/>
    <w:rsid w:val="24C91246"/>
    <w:rsid w:val="24DB06FE"/>
    <w:rsid w:val="24EF3425"/>
    <w:rsid w:val="24FB777C"/>
    <w:rsid w:val="251E6D56"/>
    <w:rsid w:val="256B6C91"/>
    <w:rsid w:val="25BB6E61"/>
    <w:rsid w:val="25D06E82"/>
    <w:rsid w:val="25E25DA3"/>
    <w:rsid w:val="263C4B36"/>
    <w:rsid w:val="26776210"/>
    <w:rsid w:val="2678630B"/>
    <w:rsid w:val="26791143"/>
    <w:rsid w:val="26826830"/>
    <w:rsid w:val="269B7AAF"/>
    <w:rsid w:val="26A82D9F"/>
    <w:rsid w:val="26CA2FC4"/>
    <w:rsid w:val="26CC74B6"/>
    <w:rsid w:val="26DD439A"/>
    <w:rsid w:val="26E54BF0"/>
    <w:rsid w:val="26EF1F47"/>
    <w:rsid w:val="26FB4DC9"/>
    <w:rsid w:val="27196C26"/>
    <w:rsid w:val="27201347"/>
    <w:rsid w:val="272E606A"/>
    <w:rsid w:val="27392270"/>
    <w:rsid w:val="27420E8D"/>
    <w:rsid w:val="2759754B"/>
    <w:rsid w:val="2761728D"/>
    <w:rsid w:val="27710271"/>
    <w:rsid w:val="27D93340"/>
    <w:rsid w:val="27E309B7"/>
    <w:rsid w:val="27F136FF"/>
    <w:rsid w:val="27FE6547"/>
    <w:rsid w:val="28060F58"/>
    <w:rsid w:val="28063A3B"/>
    <w:rsid w:val="281045BB"/>
    <w:rsid w:val="282D30F8"/>
    <w:rsid w:val="285B02EA"/>
    <w:rsid w:val="28920A3E"/>
    <w:rsid w:val="289B1FE8"/>
    <w:rsid w:val="28A6098D"/>
    <w:rsid w:val="28A97259"/>
    <w:rsid w:val="28F95176"/>
    <w:rsid w:val="292E0567"/>
    <w:rsid w:val="293A674B"/>
    <w:rsid w:val="29612364"/>
    <w:rsid w:val="298567F4"/>
    <w:rsid w:val="29AB625B"/>
    <w:rsid w:val="29B67317"/>
    <w:rsid w:val="29D32594"/>
    <w:rsid w:val="29EC1D5F"/>
    <w:rsid w:val="2A37743C"/>
    <w:rsid w:val="2A3F4BF5"/>
    <w:rsid w:val="2A5E603A"/>
    <w:rsid w:val="2A81520E"/>
    <w:rsid w:val="2AA82584"/>
    <w:rsid w:val="2ABC6246"/>
    <w:rsid w:val="2AC41361"/>
    <w:rsid w:val="2ADC4985"/>
    <w:rsid w:val="2AE17D32"/>
    <w:rsid w:val="2AF7636C"/>
    <w:rsid w:val="2AFA413C"/>
    <w:rsid w:val="2B17347C"/>
    <w:rsid w:val="2B195446"/>
    <w:rsid w:val="2B25203D"/>
    <w:rsid w:val="2B2825BF"/>
    <w:rsid w:val="2B297677"/>
    <w:rsid w:val="2B2A31B0"/>
    <w:rsid w:val="2B2F07C6"/>
    <w:rsid w:val="2B3365D2"/>
    <w:rsid w:val="2B674404"/>
    <w:rsid w:val="2B6F1311"/>
    <w:rsid w:val="2B807273"/>
    <w:rsid w:val="2B926BAB"/>
    <w:rsid w:val="2B960845"/>
    <w:rsid w:val="2BAA740E"/>
    <w:rsid w:val="2BAE144D"/>
    <w:rsid w:val="2BC61B20"/>
    <w:rsid w:val="2BC7613D"/>
    <w:rsid w:val="2BEF4B34"/>
    <w:rsid w:val="2C022011"/>
    <w:rsid w:val="2C0C6F91"/>
    <w:rsid w:val="2C174869"/>
    <w:rsid w:val="2C1B6F9C"/>
    <w:rsid w:val="2C302A48"/>
    <w:rsid w:val="2C315FBD"/>
    <w:rsid w:val="2C3167C0"/>
    <w:rsid w:val="2C4D6BBB"/>
    <w:rsid w:val="2C680F76"/>
    <w:rsid w:val="2C740155"/>
    <w:rsid w:val="2C88089B"/>
    <w:rsid w:val="2C8B2374"/>
    <w:rsid w:val="2C965A29"/>
    <w:rsid w:val="2CA12B77"/>
    <w:rsid w:val="2CB01C98"/>
    <w:rsid w:val="2CCC61C4"/>
    <w:rsid w:val="2CFF3809"/>
    <w:rsid w:val="2D0519B6"/>
    <w:rsid w:val="2D206597"/>
    <w:rsid w:val="2D276E7F"/>
    <w:rsid w:val="2D36414C"/>
    <w:rsid w:val="2D590D23"/>
    <w:rsid w:val="2D5B1E69"/>
    <w:rsid w:val="2D940DB4"/>
    <w:rsid w:val="2DA65949"/>
    <w:rsid w:val="2DAE6A6F"/>
    <w:rsid w:val="2DB60D53"/>
    <w:rsid w:val="2DCD5564"/>
    <w:rsid w:val="2DD13DB6"/>
    <w:rsid w:val="2DE35CFB"/>
    <w:rsid w:val="2DF126AA"/>
    <w:rsid w:val="2DF74E76"/>
    <w:rsid w:val="2DFF2CE2"/>
    <w:rsid w:val="2E052583"/>
    <w:rsid w:val="2E1F6CFC"/>
    <w:rsid w:val="2E303D5B"/>
    <w:rsid w:val="2E344345"/>
    <w:rsid w:val="2E4A7BC6"/>
    <w:rsid w:val="2E82031A"/>
    <w:rsid w:val="2EA87BC6"/>
    <w:rsid w:val="2EAA1F80"/>
    <w:rsid w:val="2EBE3503"/>
    <w:rsid w:val="2ED5071F"/>
    <w:rsid w:val="2ED7364E"/>
    <w:rsid w:val="2EEA0215"/>
    <w:rsid w:val="2EEC4E69"/>
    <w:rsid w:val="2EF16493"/>
    <w:rsid w:val="2F1D3524"/>
    <w:rsid w:val="2F5C1DA5"/>
    <w:rsid w:val="2F7D7E31"/>
    <w:rsid w:val="2FA5553E"/>
    <w:rsid w:val="2FE53B49"/>
    <w:rsid w:val="2FEB5CCB"/>
    <w:rsid w:val="2FF6097D"/>
    <w:rsid w:val="2FFE2803"/>
    <w:rsid w:val="3007793C"/>
    <w:rsid w:val="30214873"/>
    <w:rsid w:val="303164B3"/>
    <w:rsid w:val="303C3311"/>
    <w:rsid w:val="3048316C"/>
    <w:rsid w:val="3065687F"/>
    <w:rsid w:val="3069477A"/>
    <w:rsid w:val="30696528"/>
    <w:rsid w:val="30937906"/>
    <w:rsid w:val="30A13483"/>
    <w:rsid w:val="30A979BD"/>
    <w:rsid w:val="30B23EDD"/>
    <w:rsid w:val="30DB0655"/>
    <w:rsid w:val="30F446A6"/>
    <w:rsid w:val="311C4763"/>
    <w:rsid w:val="311F2D90"/>
    <w:rsid w:val="312E1BBC"/>
    <w:rsid w:val="313703D4"/>
    <w:rsid w:val="3149243C"/>
    <w:rsid w:val="31644F41"/>
    <w:rsid w:val="317909ED"/>
    <w:rsid w:val="31AB16B2"/>
    <w:rsid w:val="31B16024"/>
    <w:rsid w:val="320D4F46"/>
    <w:rsid w:val="320F5219"/>
    <w:rsid w:val="321C3FF7"/>
    <w:rsid w:val="32494863"/>
    <w:rsid w:val="325B4596"/>
    <w:rsid w:val="326A47D9"/>
    <w:rsid w:val="327318E0"/>
    <w:rsid w:val="32AF4DAC"/>
    <w:rsid w:val="32B829E5"/>
    <w:rsid w:val="32F02F31"/>
    <w:rsid w:val="33042538"/>
    <w:rsid w:val="33045A37"/>
    <w:rsid w:val="33070C81"/>
    <w:rsid w:val="33240633"/>
    <w:rsid w:val="335245EC"/>
    <w:rsid w:val="3363364D"/>
    <w:rsid w:val="337907ED"/>
    <w:rsid w:val="33FD130D"/>
    <w:rsid w:val="34401C96"/>
    <w:rsid w:val="345F5A55"/>
    <w:rsid w:val="34670FD0"/>
    <w:rsid w:val="346D124D"/>
    <w:rsid w:val="346D2FE3"/>
    <w:rsid w:val="346F4329"/>
    <w:rsid w:val="347003C1"/>
    <w:rsid w:val="347831DE"/>
    <w:rsid w:val="34B8182C"/>
    <w:rsid w:val="34C64FA3"/>
    <w:rsid w:val="34C77FC6"/>
    <w:rsid w:val="34DF500B"/>
    <w:rsid w:val="350A2436"/>
    <w:rsid w:val="352F342C"/>
    <w:rsid w:val="354C4F6B"/>
    <w:rsid w:val="3566409A"/>
    <w:rsid w:val="35725E7F"/>
    <w:rsid w:val="359256E3"/>
    <w:rsid w:val="35DC59EE"/>
    <w:rsid w:val="35EF4EA0"/>
    <w:rsid w:val="36260A17"/>
    <w:rsid w:val="3638558B"/>
    <w:rsid w:val="363C648D"/>
    <w:rsid w:val="364F61C0"/>
    <w:rsid w:val="365B2DB7"/>
    <w:rsid w:val="36667C50"/>
    <w:rsid w:val="36804B6E"/>
    <w:rsid w:val="36932551"/>
    <w:rsid w:val="371B3575"/>
    <w:rsid w:val="37227431"/>
    <w:rsid w:val="37351F04"/>
    <w:rsid w:val="374C482B"/>
    <w:rsid w:val="374E408D"/>
    <w:rsid w:val="37616405"/>
    <w:rsid w:val="379A346B"/>
    <w:rsid w:val="37A45076"/>
    <w:rsid w:val="37A605D1"/>
    <w:rsid w:val="37F7701C"/>
    <w:rsid w:val="37FA215C"/>
    <w:rsid w:val="380B4FEE"/>
    <w:rsid w:val="380C5CCE"/>
    <w:rsid w:val="38172D0E"/>
    <w:rsid w:val="382611A3"/>
    <w:rsid w:val="384D1B26"/>
    <w:rsid w:val="38613F89"/>
    <w:rsid w:val="38C73561"/>
    <w:rsid w:val="38DF6774"/>
    <w:rsid w:val="38E23DAB"/>
    <w:rsid w:val="38E90A86"/>
    <w:rsid w:val="38FB4BB4"/>
    <w:rsid w:val="38FC2651"/>
    <w:rsid w:val="39214405"/>
    <w:rsid w:val="3929771F"/>
    <w:rsid w:val="39566019"/>
    <w:rsid w:val="395E4A56"/>
    <w:rsid w:val="39611CB8"/>
    <w:rsid w:val="39656528"/>
    <w:rsid w:val="39766A1D"/>
    <w:rsid w:val="39D36551"/>
    <w:rsid w:val="39EE7A9E"/>
    <w:rsid w:val="39FD5F33"/>
    <w:rsid w:val="39FF07C8"/>
    <w:rsid w:val="3A1A0893"/>
    <w:rsid w:val="3A6E439F"/>
    <w:rsid w:val="3A742699"/>
    <w:rsid w:val="3A987315"/>
    <w:rsid w:val="3A9B19D4"/>
    <w:rsid w:val="3AB26D1E"/>
    <w:rsid w:val="3B3A390F"/>
    <w:rsid w:val="3B4A33FA"/>
    <w:rsid w:val="3B641499"/>
    <w:rsid w:val="3B7346FF"/>
    <w:rsid w:val="3B8C0A25"/>
    <w:rsid w:val="3B975884"/>
    <w:rsid w:val="3BA90120"/>
    <w:rsid w:val="3BAE0920"/>
    <w:rsid w:val="3BDB727F"/>
    <w:rsid w:val="3C1732DC"/>
    <w:rsid w:val="3C177044"/>
    <w:rsid w:val="3C461E13"/>
    <w:rsid w:val="3C473BF0"/>
    <w:rsid w:val="3C7038D3"/>
    <w:rsid w:val="3C7249B6"/>
    <w:rsid w:val="3C7F561F"/>
    <w:rsid w:val="3C9E787E"/>
    <w:rsid w:val="3CA53B82"/>
    <w:rsid w:val="3CBA010B"/>
    <w:rsid w:val="3CBA7D0C"/>
    <w:rsid w:val="3CC4480B"/>
    <w:rsid w:val="3CCC57A3"/>
    <w:rsid w:val="3CCE5088"/>
    <w:rsid w:val="3D0221DE"/>
    <w:rsid w:val="3D0525B1"/>
    <w:rsid w:val="3D0970E5"/>
    <w:rsid w:val="3D0D2931"/>
    <w:rsid w:val="3D143CBF"/>
    <w:rsid w:val="3D1D5F3F"/>
    <w:rsid w:val="3D313EBB"/>
    <w:rsid w:val="3D3A24DE"/>
    <w:rsid w:val="3D583AB4"/>
    <w:rsid w:val="3D703466"/>
    <w:rsid w:val="3D932E36"/>
    <w:rsid w:val="3DA41586"/>
    <w:rsid w:val="3DA830A3"/>
    <w:rsid w:val="3DAD47DF"/>
    <w:rsid w:val="3DB930C9"/>
    <w:rsid w:val="3DD3486E"/>
    <w:rsid w:val="3DF564DB"/>
    <w:rsid w:val="3E453F37"/>
    <w:rsid w:val="3E455A3D"/>
    <w:rsid w:val="3E537957"/>
    <w:rsid w:val="3EA53871"/>
    <w:rsid w:val="3EA94885"/>
    <w:rsid w:val="3EB8011B"/>
    <w:rsid w:val="3EBC3E32"/>
    <w:rsid w:val="3EFB00E7"/>
    <w:rsid w:val="3F176E91"/>
    <w:rsid w:val="3F2D003E"/>
    <w:rsid w:val="3F3441A5"/>
    <w:rsid w:val="3F38155F"/>
    <w:rsid w:val="3F4123FE"/>
    <w:rsid w:val="3F5877A8"/>
    <w:rsid w:val="3F6727CC"/>
    <w:rsid w:val="3F7A4C7A"/>
    <w:rsid w:val="3F7C0A80"/>
    <w:rsid w:val="3F8C2233"/>
    <w:rsid w:val="3F9856B1"/>
    <w:rsid w:val="3F991855"/>
    <w:rsid w:val="3FA472FC"/>
    <w:rsid w:val="3FD31C10"/>
    <w:rsid w:val="3FD3E2D1"/>
    <w:rsid w:val="3FE47979"/>
    <w:rsid w:val="3FE7454B"/>
    <w:rsid w:val="3FF37A93"/>
    <w:rsid w:val="401E4ED8"/>
    <w:rsid w:val="40484DC1"/>
    <w:rsid w:val="404A221A"/>
    <w:rsid w:val="405A3D94"/>
    <w:rsid w:val="405D597D"/>
    <w:rsid w:val="406E2FFA"/>
    <w:rsid w:val="40711156"/>
    <w:rsid w:val="40890521"/>
    <w:rsid w:val="40A86BF9"/>
    <w:rsid w:val="40D16E88"/>
    <w:rsid w:val="40DA56D9"/>
    <w:rsid w:val="40ED0AAF"/>
    <w:rsid w:val="40F871B2"/>
    <w:rsid w:val="41190363"/>
    <w:rsid w:val="411B519D"/>
    <w:rsid w:val="413053DD"/>
    <w:rsid w:val="41312F4E"/>
    <w:rsid w:val="41317D4C"/>
    <w:rsid w:val="41504B07"/>
    <w:rsid w:val="41575755"/>
    <w:rsid w:val="41596145"/>
    <w:rsid w:val="41666097"/>
    <w:rsid w:val="41770ACF"/>
    <w:rsid w:val="418A584C"/>
    <w:rsid w:val="418B4A72"/>
    <w:rsid w:val="41936CA5"/>
    <w:rsid w:val="41990C70"/>
    <w:rsid w:val="41A74A42"/>
    <w:rsid w:val="41BE3632"/>
    <w:rsid w:val="41C04416"/>
    <w:rsid w:val="41EE6B6A"/>
    <w:rsid w:val="41FD583F"/>
    <w:rsid w:val="42466D7C"/>
    <w:rsid w:val="424C7A58"/>
    <w:rsid w:val="42601A81"/>
    <w:rsid w:val="42674891"/>
    <w:rsid w:val="4281696F"/>
    <w:rsid w:val="4286740D"/>
    <w:rsid w:val="42882CDD"/>
    <w:rsid w:val="428C42F8"/>
    <w:rsid w:val="42946983"/>
    <w:rsid w:val="429C47E8"/>
    <w:rsid w:val="42AC31AE"/>
    <w:rsid w:val="42B71375"/>
    <w:rsid w:val="42D55C9F"/>
    <w:rsid w:val="42F56341"/>
    <w:rsid w:val="433D1506"/>
    <w:rsid w:val="4359067E"/>
    <w:rsid w:val="43632D4D"/>
    <w:rsid w:val="43792713"/>
    <w:rsid w:val="43884ABF"/>
    <w:rsid w:val="439D03FC"/>
    <w:rsid w:val="43A045C0"/>
    <w:rsid w:val="43DB5D83"/>
    <w:rsid w:val="43E53CB3"/>
    <w:rsid w:val="43E629EA"/>
    <w:rsid w:val="43FF558B"/>
    <w:rsid w:val="440D6902"/>
    <w:rsid w:val="443B5FD6"/>
    <w:rsid w:val="44574204"/>
    <w:rsid w:val="44670B79"/>
    <w:rsid w:val="44A67585"/>
    <w:rsid w:val="44AF1CA7"/>
    <w:rsid w:val="44F208A0"/>
    <w:rsid w:val="44F931C0"/>
    <w:rsid w:val="45042999"/>
    <w:rsid w:val="451E0EEE"/>
    <w:rsid w:val="45260F4E"/>
    <w:rsid w:val="45356EC9"/>
    <w:rsid w:val="456A52FE"/>
    <w:rsid w:val="457A6819"/>
    <w:rsid w:val="458F65D9"/>
    <w:rsid w:val="45AD4CB1"/>
    <w:rsid w:val="45B002FD"/>
    <w:rsid w:val="45D83104"/>
    <w:rsid w:val="46056FC1"/>
    <w:rsid w:val="462C5FD8"/>
    <w:rsid w:val="463A56B7"/>
    <w:rsid w:val="46601D24"/>
    <w:rsid w:val="468679DC"/>
    <w:rsid w:val="46872E38"/>
    <w:rsid w:val="46CC1167"/>
    <w:rsid w:val="46D36999"/>
    <w:rsid w:val="46E12E64"/>
    <w:rsid w:val="471A45C8"/>
    <w:rsid w:val="475F1C97"/>
    <w:rsid w:val="47633718"/>
    <w:rsid w:val="478162C5"/>
    <w:rsid w:val="47835CCA"/>
    <w:rsid w:val="478D2CB4"/>
    <w:rsid w:val="47A06CD6"/>
    <w:rsid w:val="47B03975"/>
    <w:rsid w:val="47CB0DA4"/>
    <w:rsid w:val="47FB7F56"/>
    <w:rsid w:val="480B5418"/>
    <w:rsid w:val="482567DB"/>
    <w:rsid w:val="48321B37"/>
    <w:rsid w:val="483D40CA"/>
    <w:rsid w:val="48427933"/>
    <w:rsid w:val="488A3F7C"/>
    <w:rsid w:val="488B752C"/>
    <w:rsid w:val="48EC7B2F"/>
    <w:rsid w:val="48ED2A15"/>
    <w:rsid w:val="49492F43"/>
    <w:rsid w:val="496431A9"/>
    <w:rsid w:val="496D5EE2"/>
    <w:rsid w:val="497711F9"/>
    <w:rsid w:val="497F4CA2"/>
    <w:rsid w:val="49B06023"/>
    <w:rsid w:val="49BF6D61"/>
    <w:rsid w:val="49C425C9"/>
    <w:rsid w:val="4A450A9E"/>
    <w:rsid w:val="4A4A3E8F"/>
    <w:rsid w:val="4A4D54DD"/>
    <w:rsid w:val="4A543C4F"/>
    <w:rsid w:val="4A5B2F2E"/>
    <w:rsid w:val="4A634417"/>
    <w:rsid w:val="4A726C30"/>
    <w:rsid w:val="4A791C54"/>
    <w:rsid w:val="4A7B712C"/>
    <w:rsid w:val="4A7D2439"/>
    <w:rsid w:val="4A7D4C52"/>
    <w:rsid w:val="4A8C7E9F"/>
    <w:rsid w:val="4AAE090D"/>
    <w:rsid w:val="4AD4683C"/>
    <w:rsid w:val="4AE03433"/>
    <w:rsid w:val="4B0421BA"/>
    <w:rsid w:val="4B1925BC"/>
    <w:rsid w:val="4B1C6997"/>
    <w:rsid w:val="4B1F03FF"/>
    <w:rsid w:val="4B2E1276"/>
    <w:rsid w:val="4B3E52E7"/>
    <w:rsid w:val="4B414A1A"/>
    <w:rsid w:val="4B4C0AC8"/>
    <w:rsid w:val="4B4C2876"/>
    <w:rsid w:val="4B5F510C"/>
    <w:rsid w:val="4B8A7260"/>
    <w:rsid w:val="4BA44460"/>
    <w:rsid w:val="4BB46AB4"/>
    <w:rsid w:val="4BB978EE"/>
    <w:rsid w:val="4BCC19E7"/>
    <w:rsid w:val="4BE74E1E"/>
    <w:rsid w:val="4C0513D8"/>
    <w:rsid w:val="4C09139E"/>
    <w:rsid w:val="4C120CFB"/>
    <w:rsid w:val="4C1E2465"/>
    <w:rsid w:val="4C63431C"/>
    <w:rsid w:val="4C72455F"/>
    <w:rsid w:val="4C790CD2"/>
    <w:rsid w:val="4C7D739B"/>
    <w:rsid w:val="4CA405C2"/>
    <w:rsid w:val="4CDF1419"/>
    <w:rsid w:val="4CED67D4"/>
    <w:rsid w:val="4CFC2F79"/>
    <w:rsid w:val="4D3F2693"/>
    <w:rsid w:val="4D476230"/>
    <w:rsid w:val="4D6C0FAE"/>
    <w:rsid w:val="4D7C11C0"/>
    <w:rsid w:val="4D956C59"/>
    <w:rsid w:val="4DAA3E7E"/>
    <w:rsid w:val="4DF751D5"/>
    <w:rsid w:val="4E0D453F"/>
    <w:rsid w:val="4E2875CB"/>
    <w:rsid w:val="4E3157DF"/>
    <w:rsid w:val="4E324FE1"/>
    <w:rsid w:val="4E436DAA"/>
    <w:rsid w:val="4E4B5067"/>
    <w:rsid w:val="4E4E26A8"/>
    <w:rsid w:val="4E5460E6"/>
    <w:rsid w:val="4E6C72D7"/>
    <w:rsid w:val="4EAA7FE0"/>
    <w:rsid w:val="4EB45D76"/>
    <w:rsid w:val="4EDF12A6"/>
    <w:rsid w:val="4EEF59B0"/>
    <w:rsid w:val="4EFC6731"/>
    <w:rsid w:val="4EFC7C17"/>
    <w:rsid w:val="4F4C553B"/>
    <w:rsid w:val="4F552641"/>
    <w:rsid w:val="4F6E5F52"/>
    <w:rsid w:val="4F7C3032"/>
    <w:rsid w:val="4FA65347"/>
    <w:rsid w:val="4FBC5F0F"/>
    <w:rsid w:val="4FE81310"/>
    <w:rsid w:val="4FF25250"/>
    <w:rsid w:val="4FFD40E4"/>
    <w:rsid w:val="505B2102"/>
    <w:rsid w:val="505E3D0B"/>
    <w:rsid w:val="506A1A77"/>
    <w:rsid w:val="506B19F1"/>
    <w:rsid w:val="5087566B"/>
    <w:rsid w:val="50884876"/>
    <w:rsid w:val="50E53551"/>
    <w:rsid w:val="50EA73C4"/>
    <w:rsid w:val="50F10148"/>
    <w:rsid w:val="51281690"/>
    <w:rsid w:val="51414A68"/>
    <w:rsid w:val="51640350"/>
    <w:rsid w:val="517B6BF4"/>
    <w:rsid w:val="51826FF2"/>
    <w:rsid w:val="51907961"/>
    <w:rsid w:val="51AA02F7"/>
    <w:rsid w:val="51B00003"/>
    <w:rsid w:val="51B80DA2"/>
    <w:rsid w:val="51FC2660"/>
    <w:rsid w:val="523C751A"/>
    <w:rsid w:val="52442C80"/>
    <w:rsid w:val="52531645"/>
    <w:rsid w:val="5260487B"/>
    <w:rsid w:val="52995941"/>
    <w:rsid w:val="529A0D8A"/>
    <w:rsid w:val="529C3DB8"/>
    <w:rsid w:val="52E0445A"/>
    <w:rsid w:val="531E60A7"/>
    <w:rsid w:val="534E3FB8"/>
    <w:rsid w:val="53656BCB"/>
    <w:rsid w:val="53754537"/>
    <w:rsid w:val="53A07C03"/>
    <w:rsid w:val="53BD29DA"/>
    <w:rsid w:val="53DE2EE1"/>
    <w:rsid w:val="53F1045F"/>
    <w:rsid w:val="53FA37B7"/>
    <w:rsid w:val="54092EF7"/>
    <w:rsid w:val="545B5A9F"/>
    <w:rsid w:val="545F361A"/>
    <w:rsid w:val="547E64E4"/>
    <w:rsid w:val="54A1461E"/>
    <w:rsid w:val="54D7726C"/>
    <w:rsid w:val="54F55D2D"/>
    <w:rsid w:val="54FA0662"/>
    <w:rsid w:val="55081F04"/>
    <w:rsid w:val="55352F86"/>
    <w:rsid w:val="553F54C2"/>
    <w:rsid w:val="555A427E"/>
    <w:rsid w:val="55627866"/>
    <w:rsid w:val="55763794"/>
    <w:rsid w:val="55842283"/>
    <w:rsid w:val="559317CE"/>
    <w:rsid w:val="55B63F14"/>
    <w:rsid w:val="55E55519"/>
    <w:rsid w:val="564B20A8"/>
    <w:rsid w:val="565A678F"/>
    <w:rsid w:val="565F1608"/>
    <w:rsid w:val="56A90286"/>
    <w:rsid w:val="56D5379F"/>
    <w:rsid w:val="56DA167E"/>
    <w:rsid w:val="56E858D8"/>
    <w:rsid w:val="56F1376A"/>
    <w:rsid w:val="56FD01ED"/>
    <w:rsid w:val="57023C76"/>
    <w:rsid w:val="570C427A"/>
    <w:rsid w:val="574B4F73"/>
    <w:rsid w:val="576225A6"/>
    <w:rsid w:val="576378C6"/>
    <w:rsid w:val="578B11AC"/>
    <w:rsid w:val="578F06BB"/>
    <w:rsid w:val="57B409A3"/>
    <w:rsid w:val="57F93EEA"/>
    <w:rsid w:val="58030BCB"/>
    <w:rsid w:val="58045756"/>
    <w:rsid w:val="5809221B"/>
    <w:rsid w:val="58207669"/>
    <w:rsid w:val="58613E05"/>
    <w:rsid w:val="587647D5"/>
    <w:rsid w:val="58920462"/>
    <w:rsid w:val="58975164"/>
    <w:rsid w:val="589F749E"/>
    <w:rsid w:val="58EE0111"/>
    <w:rsid w:val="590304A1"/>
    <w:rsid w:val="592062E6"/>
    <w:rsid w:val="5937763F"/>
    <w:rsid w:val="593E1458"/>
    <w:rsid w:val="595E0345"/>
    <w:rsid w:val="59645E41"/>
    <w:rsid w:val="598B3EF7"/>
    <w:rsid w:val="598F0E8A"/>
    <w:rsid w:val="59963571"/>
    <w:rsid w:val="59E13BDC"/>
    <w:rsid w:val="59F82E47"/>
    <w:rsid w:val="5A193F04"/>
    <w:rsid w:val="5A6F20DD"/>
    <w:rsid w:val="5A822090"/>
    <w:rsid w:val="5AA70EA5"/>
    <w:rsid w:val="5AAC584A"/>
    <w:rsid w:val="5AB66EB6"/>
    <w:rsid w:val="5AC04630"/>
    <w:rsid w:val="5AC96429"/>
    <w:rsid w:val="5B112A10"/>
    <w:rsid w:val="5B262DEE"/>
    <w:rsid w:val="5B3C7488"/>
    <w:rsid w:val="5B48305A"/>
    <w:rsid w:val="5B523262"/>
    <w:rsid w:val="5B6F6653"/>
    <w:rsid w:val="5B7F0130"/>
    <w:rsid w:val="5B80134A"/>
    <w:rsid w:val="5B884497"/>
    <w:rsid w:val="5BA5225B"/>
    <w:rsid w:val="5BA566AE"/>
    <w:rsid w:val="5BAF6C35"/>
    <w:rsid w:val="5BB406F0"/>
    <w:rsid w:val="5BC70423"/>
    <w:rsid w:val="5C270EC2"/>
    <w:rsid w:val="5C337866"/>
    <w:rsid w:val="5C4F655B"/>
    <w:rsid w:val="5C5700ED"/>
    <w:rsid w:val="5C6B23F1"/>
    <w:rsid w:val="5C7637BE"/>
    <w:rsid w:val="5C78171D"/>
    <w:rsid w:val="5C8303DA"/>
    <w:rsid w:val="5C8F06CE"/>
    <w:rsid w:val="5C913FF1"/>
    <w:rsid w:val="5C930305"/>
    <w:rsid w:val="5C94482F"/>
    <w:rsid w:val="5C9B26DD"/>
    <w:rsid w:val="5CA42512"/>
    <w:rsid w:val="5CD43973"/>
    <w:rsid w:val="5CE62B2B"/>
    <w:rsid w:val="5D191608"/>
    <w:rsid w:val="5D2E002E"/>
    <w:rsid w:val="5D4A0C20"/>
    <w:rsid w:val="5D72616D"/>
    <w:rsid w:val="5D777C27"/>
    <w:rsid w:val="5D92680F"/>
    <w:rsid w:val="5D9C143B"/>
    <w:rsid w:val="5DA53978"/>
    <w:rsid w:val="5DBB4F7E"/>
    <w:rsid w:val="5DE4275B"/>
    <w:rsid w:val="5DF02EC7"/>
    <w:rsid w:val="5DFD1013"/>
    <w:rsid w:val="5E131964"/>
    <w:rsid w:val="5E321F25"/>
    <w:rsid w:val="5E7F3658"/>
    <w:rsid w:val="5E8048B9"/>
    <w:rsid w:val="5E8F2D4E"/>
    <w:rsid w:val="5EA70098"/>
    <w:rsid w:val="5EB160EF"/>
    <w:rsid w:val="5EF665DA"/>
    <w:rsid w:val="5EFF7ED4"/>
    <w:rsid w:val="5F245B8C"/>
    <w:rsid w:val="5F28567D"/>
    <w:rsid w:val="5F2B42BA"/>
    <w:rsid w:val="5F463D55"/>
    <w:rsid w:val="5F654F20"/>
    <w:rsid w:val="5F7E038E"/>
    <w:rsid w:val="5F8A23B2"/>
    <w:rsid w:val="5F8B5C0B"/>
    <w:rsid w:val="5F911DE1"/>
    <w:rsid w:val="5FA27D0B"/>
    <w:rsid w:val="5FA665A1"/>
    <w:rsid w:val="5FC028CE"/>
    <w:rsid w:val="5FC64836"/>
    <w:rsid w:val="5FCC7079"/>
    <w:rsid w:val="5FF12313"/>
    <w:rsid w:val="5FF47902"/>
    <w:rsid w:val="5FFB20D1"/>
    <w:rsid w:val="5FFCCF8A"/>
    <w:rsid w:val="60197513"/>
    <w:rsid w:val="60327E35"/>
    <w:rsid w:val="60377C9E"/>
    <w:rsid w:val="603B2232"/>
    <w:rsid w:val="608D2B4D"/>
    <w:rsid w:val="6103649C"/>
    <w:rsid w:val="61047A23"/>
    <w:rsid w:val="61096DE8"/>
    <w:rsid w:val="610F145C"/>
    <w:rsid w:val="614442C4"/>
    <w:rsid w:val="615D19B1"/>
    <w:rsid w:val="617C2A41"/>
    <w:rsid w:val="618652A9"/>
    <w:rsid w:val="61E544A6"/>
    <w:rsid w:val="61F07FA8"/>
    <w:rsid w:val="61F53810"/>
    <w:rsid w:val="61F57C40"/>
    <w:rsid w:val="61FD3ED8"/>
    <w:rsid w:val="62146865"/>
    <w:rsid w:val="622D17AE"/>
    <w:rsid w:val="62425D42"/>
    <w:rsid w:val="625B3673"/>
    <w:rsid w:val="62816E52"/>
    <w:rsid w:val="62903674"/>
    <w:rsid w:val="6292105F"/>
    <w:rsid w:val="62B21879"/>
    <w:rsid w:val="62B2499B"/>
    <w:rsid w:val="62B82E4F"/>
    <w:rsid w:val="62E37026"/>
    <w:rsid w:val="62E54BB1"/>
    <w:rsid w:val="62FED776"/>
    <w:rsid w:val="631513CA"/>
    <w:rsid w:val="635A392B"/>
    <w:rsid w:val="63690012"/>
    <w:rsid w:val="636C3F7F"/>
    <w:rsid w:val="6388084C"/>
    <w:rsid w:val="638A0392"/>
    <w:rsid w:val="638A1485"/>
    <w:rsid w:val="638D7E7D"/>
    <w:rsid w:val="63944015"/>
    <w:rsid w:val="63A33FCE"/>
    <w:rsid w:val="63AE1EC8"/>
    <w:rsid w:val="63DA2CBD"/>
    <w:rsid w:val="63F313D6"/>
    <w:rsid w:val="641D4B31"/>
    <w:rsid w:val="643B7C00"/>
    <w:rsid w:val="643E438A"/>
    <w:rsid w:val="64664551"/>
    <w:rsid w:val="64931CDD"/>
    <w:rsid w:val="64963088"/>
    <w:rsid w:val="649B7D9B"/>
    <w:rsid w:val="64A84B6A"/>
    <w:rsid w:val="64AC6408"/>
    <w:rsid w:val="64BC179E"/>
    <w:rsid w:val="64D140C0"/>
    <w:rsid w:val="64F62C5B"/>
    <w:rsid w:val="64FD5AE6"/>
    <w:rsid w:val="654270C4"/>
    <w:rsid w:val="654E74BF"/>
    <w:rsid w:val="65650777"/>
    <w:rsid w:val="659C46CE"/>
    <w:rsid w:val="659F41BF"/>
    <w:rsid w:val="65AF2F68"/>
    <w:rsid w:val="65BD7113"/>
    <w:rsid w:val="65C650B8"/>
    <w:rsid w:val="65CA38DD"/>
    <w:rsid w:val="65FFF733"/>
    <w:rsid w:val="660839F1"/>
    <w:rsid w:val="6632293D"/>
    <w:rsid w:val="66664CDC"/>
    <w:rsid w:val="66976C44"/>
    <w:rsid w:val="66A14B8B"/>
    <w:rsid w:val="66DB2FD4"/>
    <w:rsid w:val="66DE0D17"/>
    <w:rsid w:val="66F47227"/>
    <w:rsid w:val="67154BEC"/>
    <w:rsid w:val="671C0F20"/>
    <w:rsid w:val="675F4140"/>
    <w:rsid w:val="676A5819"/>
    <w:rsid w:val="67887037"/>
    <w:rsid w:val="67D00E1E"/>
    <w:rsid w:val="67E27177"/>
    <w:rsid w:val="681A5D6B"/>
    <w:rsid w:val="68571C1B"/>
    <w:rsid w:val="68716FB6"/>
    <w:rsid w:val="6872557F"/>
    <w:rsid w:val="688A7028"/>
    <w:rsid w:val="688E4077"/>
    <w:rsid w:val="68AC6886"/>
    <w:rsid w:val="68D61E72"/>
    <w:rsid w:val="68DB3760"/>
    <w:rsid w:val="69021035"/>
    <w:rsid w:val="69037CD1"/>
    <w:rsid w:val="692B6C90"/>
    <w:rsid w:val="692C7B17"/>
    <w:rsid w:val="69466C5F"/>
    <w:rsid w:val="69592FFE"/>
    <w:rsid w:val="696C21A5"/>
    <w:rsid w:val="697B020E"/>
    <w:rsid w:val="69847644"/>
    <w:rsid w:val="699B6C2E"/>
    <w:rsid w:val="69A93DAC"/>
    <w:rsid w:val="69B96FD3"/>
    <w:rsid w:val="69DE2936"/>
    <w:rsid w:val="6A0942FC"/>
    <w:rsid w:val="6A0B19DF"/>
    <w:rsid w:val="6A1F142A"/>
    <w:rsid w:val="6A2A085C"/>
    <w:rsid w:val="6A667059"/>
    <w:rsid w:val="6A6C180C"/>
    <w:rsid w:val="6AA4241D"/>
    <w:rsid w:val="6AD5604E"/>
    <w:rsid w:val="6ADF0B16"/>
    <w:rsid w:val="6AE35DC4"/>
    <w:rsid w:val="6B0E0825"/>
    <w:rsid w:val="6B36496E"/>
    <w:rsid w:val="6B3D62C2"/>
    <w:rsid w:val="6B4862B2"/>
    <w:rsid w:val="6B5477F9"/>
    <w:rsid w:val="6B625A72"/>
    <w:rsid w:val="6B7B32E6"/>
    <w:rsid w:val="6B8C4856"/>
    <w:rsid w:val="6B94147E"/>
    <w:rsid w:val="6B962A4C"/>
    <w:rsid w:val="6BAD6667"/>
    <w:rsid w:val="6BC154DD"/>
    <w:rsid w:val="6BF124B8"/>
    <w:rsid w:val="6BF30DC0"/>
    <w:rsid w:val="6C0B57A3"/>
    <w:rsid w:val="6C0D28EA"/>
    <w:rsid w:val="6C2E1DF8"/>
    <w:rsid w:val="6C30791F"/>
    <w:rsid w:val="6C456BEF"/>
    <w:rsid w:val="6C5C1DDF"/>
    <w:rsid w:val="6C5E00E5"/>
    <w:rsid w:val="6C605CAE"/>
    <w:rsid w:val="6C8E0FEF"/>
    <w:rsid w:val="6CA36EEC"/>
    <w:rsid w:val="6CB00A5F"/>
    <w:rsid w:val="6CBC7404"/>
    <w:rsid w:val="6CD26C28"/>
    <w:rsid w:val="6CDB5F89"/>
    <w:rsid w:val="6CF42654"/>
    <w:rsid w:val="6CF46B9E"/>
    <w:rsid w:val="6CF901D8"/>
    <w:rsid w:val="6D0B038C"/>
    <w:rsid w:val="6D0D1D19"/>
    <w:rsid w:val="6D565481"/>
    <w:rsid w:val="6D843DD8"/>
    <w:rsid w:val="6D8D2B4F"/>
    <w:rsid w:val="6D9D5488"/>
    <w:rsid w:val="6DA57E98"/>
    <w:rsid w:val="6DB225B5"/>
    <w:rsid w:val="6DC719B8"/>
    <w:rsid w:val="6DDB41AD"/>
    <w:rsid w:val="6E1011CE"/>
    <w:rsid w:val="6E210D79"/>
    <w:rsid w:val="6E2C680B"/>
    <w:rsid w:val="6E3A62FB"/>
    <w:rsid w:val="6E3F03C0"/>
    <w:rsid w:val="6E7144CB"/>
    <w:rsid w:val="6E8A788C"/>
    <w:rsid w:val="6E961076"/>
    <w:rsid w:val="6E976B8C"/>
    <w:rsid w:val="6EA63EC8"/>
    <w:rsid w:val="6EBB4045"/>
    <w:rsid w:val="6EBC7304"/>
    <w:rsid w:val="6EEA775A"/>
    <w:rsid w:val="6F06705D"/>
    <w:rsid w:val="6F277298"/>
    <w:rsid w:val="6F2C7229"/>
    <w:rsid w:val="6F2D2E62"/>
    <w:rsid w:val="6F746FB5"/>
    <w:rsid w:val="6F780C1B"/>
    <w:rsid w:val="6F804541"/>
    <w:rsid w:val="6F855D6C"/>
    <w:rsid w:val="6FAF7E3D"/>
    <w:rsid w:val="6FC606CE"/>
    <w:rsid w:val="6FD03C85"/>
    <w:rsid w:val="6FF2419B"/>
    <w:rsid w:val="6FF25B74"/>
    <w:rsid w:val="70053579"/>
    <w:rsid w:val="700D73A0"/>
    <w:rsid w:val="70233831"/>
    <w:rsid w:val="702C3096"/>
    <w:rsid w:val="704B0516"/>
    <w:rsid w:val="7055204A"/>
    <w:rsid w:val="705F64FA"/>
    <w:rsid w:val="7084648B"/>
    <w:rsid w:val="70A1528F"/>
    <w:rsid w:val="70B52414"/>
    <w:rsid w:val="70BD022B"/>
    <w:rsid w:val="70C514EA"/>
    <w:rsid w:val="71057672"/>
    <w:rsid w:val="71347EB1"/>
    <w:rsid w:val="71384DC5"/>
    <w:rsid w:val="714B71EB"/>
    <w:rsid w:val="7168590A"/>
    <w:rsid w:val="718E34FA"/>
    <w:rsid w:val="71B714C2"/>
    <w:rsid w:val="71C034F3"/>
    <w:rsid w:val="71CE2C95"/>
    <w:rsid w:val="71D8A869"/>
    <w:rsid w:val="71F82339"/>
    <w:rsid w:val="72115F01"/>
    <w:rsid w:val="72241CDA"/>
    <w:rsid w:val="72493D70"/>
    <w:rsid w:val="72600832"/>
    <w:rsid w:val="727E236B"/>
    <w:rsid w:val="72BA0389"/>
    <w:rsid w:val="72CC5EC7"/>
    <w:rsid w:val="72D724A0"/>
    <w:rsid w:val="72E95470"/>
    <w:rsid w:val="72FB1645"/>
    <w:rsid w:val="73075597"/>
    <w:rsid w:val="73076EFF"/>
    <w:rsid w:val="73261A7B"/>
    <w:rsid w:val="73452683"/>
    <w:rsid w:val="735008A6"/>
    <w:rsid w:val="735760D9"/>
    <w:rsid w:val="737E45E0"/>
    <w:rsid w:val="739B4217"/>
    <w:rsid w:val="739C188B"/>
    <w:rsid w:val="73BA64F4"/>
    <w:rsid w:val="743369F4"/>
    <w:rsid w:val="74424693"/>
    <w:rsid w:val="74680D65"/>
    <w:rsid w:val="747A4210"/>
    <w:rsid w:val="747D3009"/>
    <w:rsid w:val="74897C50"/>
    <w:rsid w:val="748F3650"/>
    <w:rsid w:val="74B60BDD"/>
    <w:rsid w:val="74D177BE"/>
    <w:rsid w:val="74F04026"/>
    <w:rsid w:val="74F70FEA"/>
    <w:rsid w:val="75050295"/>
    <w:rsid w:val="7506505F"/>
    <w:rsid w:val="750F2685"/>
    <w:rsid w:val="75121B9E"/>
    <w:rsid w:val="751503EA"/>
    <w:rsid w:val="751E00DF"/>
    <w:rsid w:val="75295853"/>
    <w:rsid w:val="75395FF8"/>
    <w:rsid w:val="7559179F"/>
    <w:rsid w:val="75893CA4"/>
    <w:rsid w:val="759A017D"/>
    <w:rsid w:val="75A30BD5"/>
    <w:rsid w:val="75AB0051"/>
    <w:rsid w:val="75AD5B90"/>
    <w:rsid w:val="75CF9E4A"/>
    <w:rsid w:val="75E702BA"/>
    <w:rsid w:val="75ED062E"/>
    <w:rsid w:val="75FE283B"/>
    <w:rsid w:val="760616F0"/>
    <w:rsid w:val="76326989"/>
    <w:rsid w:val="76561CB2"/>
    <w:rsid w:val="76982C90"/>
    <w:rsid w:val="76B25194"/>
    <w:rsid w:val="76C21ABB"/>
    <w:rsid w:val="76C628B1"/>
    <w:rsid w:val="76E27F4A"/>
    <w:rsid w:val="77246378"/>
    <w:rsid w:val="77535F11"/>
    <w:rsid w:val="77687D3A"/>
    <w:rsid w:val="7774110E"/>
    <w:rsid w:val="777B4EBD"/>
    <w:rsid w:val="777C7EBC"/>
    <w:rsid w:val="777F79AC"/>
    <w:rsid w:val="77C43611"/>
    <w:rsid w:val="77C637AD"/>
    <w:rsid w:val="77ED700C"/>
    <w:rsid w:val="77ED7091"/>
    <w:rsid w:val="77F4AEC5"/>
    <w:rsid w:val="77FF4B57"/>
    <w:rsid w:val="7803238B"/>
    <w:rsid w:val="78115BFE"/>
    <w:rsid w:val="781E5CED"/>
    <w:rsid w:val="781E7D5E"/>
    <w:rsid w:val="78261236"/>
    <w:rsid w:val="78287C6B"/>
    <w:rsid w:val="782E4D51"/>
    <w:rsid w:val="78452C9F"/>
    <w:rsid w:val="78712522"/>
    <w:rsid w:val="78A4087E"/>
    <w:rsid w:val="78A70F68"/>
    <w:rsid w:val="78CC5890"/>
    <w:rsid w:val="78E01F2F"/>
    <w:rsid w:val="78F435A2"/>
    <w:rsid w:val="793272F8"/>
    <w:rsid w:val="793357D8"/>
    <w:rsid w:val="79435F38"/>
    <w:rsid w:val="795C388B"/>
    <w:rsid w:val="79711576"/>
    <w:rsid w:val="79872B48"/>
    <w:rsid w:val="79A302E9"/>
    <w:rsid w:val="79A91AD3"/>
    <w:rsid w:val="79AA70A2"/>
    <w:rsid w:val="79B74B8B"/>
    <w:rsid w:val="79BD2939"/>
    <w:rsid w:val="79C142AC"/>
    <w:rsid w:val="7A3D7DFA"/>
    <w:rsid w:val="7A672258"/>
    <w:rsid w:val="7ACC115A"/>
    <w:rsid w:val="7ACE2A10"/>
    <w:rsid w:val="7AFF0CC1"/>
    <w:rsid w:val="7B3960C4"/>
    <w:rsid w:val="7B4A439D"/>
    <w:rsid w:val="7B503B39"/>
    <w:rsid w:val="7B853392"/>
    <w:rsid w:val="7B8B721F"/>
    <w:rsid w:val="7BDB245B"/>
    <w:rsid w:val="7BDC1626"/>
    <w:rsid w:val="7BE1B51D"/>
    <w:rsid w:val="7BF001E1"/>
    <w:rsid w:val="7C2C772C"/>
    <w:rsid w:val="7C32218F"/>
    <w:rsid w:val="7C3B5540"/>
    <w:rsid w:val="7C3E7E36"/>
    <w:rsid w:val="7C482B64"/>
    <w:rsid w:val="7C624CE7"/>
    <w:rsid w:val="7C632029"/>
    <w:rsid w:val="7C6730F2"/>
    <w:rsid w:val="7C81665C"/>
    <w:rsid w:val="7C86781D"/>
    <w:rsid w:val="7C965954"/>
    <w:rsid w:val="7CC115D1"/>
    <w:rsid w:val="7CD1213F"/>
    <w:rsid w:val="7CE71723"/>
    <w:rsid w:val="7CFB7AD5"/>
    <w:rsid w:val="7D327004"/>
    <w:rsid w:val="7D4E40A8"/>
    <w:rsid w:val="7D6B7338"/>
    <w:rsid w:val="7D6E0B58"/>
    <w:rsid w:val="7D741635"/>
    <w:rsid w:val="7D845D1C"/>
    <w:rsid w:val="7DDD4596"/>
    <w:rsid w:val="7DE20C95"/>
    <w:rsid w:val="7DFC4599"/>
    <w:rsid w:val="7E6EFB4F"/>
    <w:rsid w:val="7E7538B7"/>
    <w:rsid w:val="7E863450"/>
    <w:rsid w:val="7E9F1ED7"/>
    <w:rsid w:val="7EB93DF4"/>
    <w:rsid w:val="7EBF319E"/>
    <w:rsid w:val="7EC32874"/>
    <w:rsid w:val="7EE80AC6"/>
    <w:rsid w:val="7F3D43D5"/>
    <w:rsid w:val="7F6749C6"/>
    <w:rsid w:val="7F6F32EA"/>
    <w:rsid w:val="7F792004"/>
    <w:rsid w:val="7F7B0140"/>
    <w:rsid w:val="7F7F3855"/>
    <w:rsid w:val="7F9E4E1D"/>
    <w:rsid w:val="7FA52BD6"/>
    <w:rsid w:val="7FAC404A"/>
    <w:rsid w:val="7FB73633"/>
    <w:rsid w:val="7FBE3040"/>
    <w:rsid w:val="7FBFC91B"/>
    <w:rsid w:val="7FDD5BB8"/>
    <w:rsid w:val="7FE5266F"/>
    <w:rsid w:val="7FE72F87"/>
    <w:rsid w:val="7FE9630A"/>
    <w:rsid w:val="7FED4FBA"/>
    <w:rsid w:val="7FEE1B73"/>
    <w:rsid w:val="7FEFCE8B"/>
    <w:rsid w:val="7FF01447"/>
    <w:rsid w:val="7FF758D9"/>
    <w:rsid w:val="7FF8479F"/>
    <w:rsid w:val="7FF8654D"/>
    <w:rsid w:val="9F5B7997"/>
    <w:rsid w:val="9FFDF9FE"/>
    <w:rsid w:val="A4DDCED2"/>
    <w:rsid w:val="B7DADF23"/>
    <w:rsid w:val="C7EE0C5A"/>
    <w:rsid w:val="CF5B588A"/>
    <w:rsid w:val="DEF7BC5A"/>
    <w:rsid w:val="E4EA2201"/>
    <w:rsid w:val="E8FFFD1E"/>
    <w:rsid w:val="EDFF81FB"/>
    <w:rsid w:val="EFEC5FD2"/>
    <w:rsid w:val="F2FF4346"/>
    <w:rsid w:val="F5DD96DE"/>
    <w:rsid w:val="F9FB6EE2"/>
    <w:rsid w:val="FB9F17D5"/>
    <w:rsid w:val="FBBE6A15"/>
    <w:rsid w:val="FCBFB515"/>
    <w:rsid w:val="FDDCEB1A"/>
    <w:rsid w:val="FEFD4180"/>
    <w:rsid w:val="FFAE708B"/>
    <w:rsid w:val="FFC86437"/>
    <w:rsid w:val="FFD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9"/>
    <w:pPr>
      <w:keepNext/>
      <w:keepLines/>
      <w:numPr>
        <w:ilvl w:val="0"/>
        <w:numId w:val="1"/>
      </w:numPr>
      <w:spacing w:line="360" w:lineRule="auto"/>
      <w:ind w:firstLine="0" w:firstLineChars="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30"/>
    <w:unhideWhenUsed/>
    <w:qFormat/>
    <w:uiPriority w:val="9"/>
    <w:pPr>
      <w:keepNext/>
      <w:keepLines/>
      <w:numPr>
        <w:ilvl w:val="0"/>
        <w:numId w:val="2"/>
      </w:numPr>
      <w:ind w:firstLine="0" w:firstLineChars="0"/>
      <w:jc w:val="center"/>
      <w:outlineLvl w:val="1"/>
    </w:pPr>
    <w:rPr>
      <w:rFonts w:ascii="仿宋_GB2312" w:eastAsia="楷体_GB2312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45"/>
    <w:semiHidden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41"/>
    <w:qFormat/>
    <w:uiPriority w:val="99"/>
    <w:pPr>
      <w:spacing w:after="120"/>
    </w:pPr>
    <w:rPr>
      <w:rFonts w:cs="Times New Roman"/>
    </w:rPr>
  </w:style>
  <w:style w:type="paragraph" w:styleId="7">
    <w:name w:val="annotation text"/>
    <w:basedOn w:val="1"/>
    <w:link w:val="28"/>
    <w:qFormat/>
    <w:uiPriority w:val="99"/>
    <w:pPr>
      <w:jc w:val="left"/>
    </w:pPr>
  </w:style>
  <w:style w:type="paragraph" w:styleId="8">
    <w:name w:val="Plain Text"/>
    <w:basedOn w:val="1"/>
    <w:link w:val="31"/>
    <w:unhideWhenUsed/>
    <w:qFormat/>
    <w:uiPriority w:val="99"/>
    <w:pPr>
      <w:spacing w:line="240" w:lineRule="auto"/>
      <w:ind w:firstLine="0" w:firstLineChars="0"/>
    </w:pPr>
    <w:rPr>
      <w:rFonts w:ascii="宋体" w:hAnsi="Courier New" w:eastAsia="宋体" w:cs="Times New Roman"/>
      <w:sz w:val="21"/>
      <w:szCs w:val="20"/>
    </w:rPr>
  </w:style>
  <w:style w:type="paragraph" w:styleId="9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line="240" w:lineRule="auto"/>
      <w:ind w:firstLine="0" w:firstLineChars="0"/>
      <w:jc w:val="left"/>
    </w:pPr>
    <w:rPr>
      <w:rFonts w:eastAsia="黑体"/>
      <w:sz w:val="24"/>
    </w:rPr>
  </w:style>
  <w:style w:type="paragraph" w:styleId="12">
    <w:name w:val="Subtitle"/>
    <w:basedOn w:val="1"/>
    <w:next w:val="1"/>
    <w:link w:val="54"/>
    <w:qFormat/>
    <w:uiPriority w:val="0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/>
      <w:b/>
      <w:bCs/>
      <w:kern w:val="28"/>
      <w:szCs w:val="32"/>
    </w:rPr>
  </w:style>
  <w:style w:type="paragraph" w:styleId="13">
    <w:name w:val="footnote text"/>
    <w:basedOn w:val="1"/>
    <w:link w:val="36"/>
    <w:unhideWhenUsed/>
    <w:qFormat/>
    <w:uiPriority w:val="99"/>
    <w:pPr>
      <w:snapToGrid w:val="0"/>
      <w:jc w:val="left"/>
    </w:pPr>
    <w:rPr>
      <w:rFonts w:ascii="仿宋_GB2312" w:hAnsi="仿宋_GB2312" w:cs="仿宋_GB2312"/>
      <w:sz w:val="18"/>
      <w:szCs w:val="18"/>
    </w:rPr>
  </w:style>
  <w:style w:type="paragraph" w:styleId="14">
    <w:name w:val="toc 2"/>
    <w:basedOn w:val="1"/>
    <w:next w:val="1"/>
    <w:unhideWhenUsed/>
    <w:qFormat/>
    <w:uiPriority w:val="39"/>
    <w:pPr>
      <w:spacing w:line="240" w:lineRule="auto"/>
      <w:ind w:left="200" w:leftChars="200"/>
      <w:jc w:val="left"/>
    </w:pPr>
    <w:rPr>
      <w:rFonts w:eastAsia="楷体_GB2312"/>
      <w:sz w:val="21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17">
    <w:name w:val="annotation subject"/>
    <w:basedOn w:val="7"/>
    <w:next w:val="7"/>
    <w:link w:val="32"/>
    <w:qFormat/>
    <w:uiPriority w:val="0"/>
    <w:rPr>
      <w:b/>
      <w:bCs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0"/>
    <w:qFormat/>
    <w:uiPriority w:val="0"/>
    <w:rPr>
      <w:sz w:val="21"/>
      <w:szCs w:val="21"/>
    </w:rPr>
  </w:style>
  <w:style w:type="character" w:styleId="24">
    <w:name w:val="footnote reference"/>
    <w:unhideWhenUsed/>
    <w:qFormat/>
    <w:uiPriority w:val="99"/>
    <w:rPr>
      <w:vertAlign w:val="superscript"/>
    </w:rPr>
  </w:style>
  <w:style w:type="paragraph" w:customStyle="1" w:styleId="25">
    <w:name w:val="TOC 标题1"/>
    <w:basedOn w:val="3"/>
    <w:next w:val="1"/>
    <w:unhideWhenUsed/>
    <w:qFormat/>
    <w:uiPriority w:val="39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kern w:val="0"/>
      <w:sz w:val="32"/>
      <w:szCs w:val="32"/>
    </w:rPr>
  </w:style>
  <w:style w:type="paragraph" w:customStyle="1" w:styleId="26">
    <w:name w:val="修订1"/>
    <w:hidden/>
    <w:unhideWhenUsed/>
    <w:qFormat/>
    <w:uiPriority w:val="99"/>
    <w:pPr>
      <w:spacing w:after="160" w:line="278" w:lineRule="auto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customStyle="1" w:styleId="27">
    <w:name w:val="修订2"/>
    <w:hidden/>
    <w:unhideWhenUsed/>
    <w:qFormat/>
    <w:uiPriority w:val="99"/>
    <w:pPr>
      <w:spacing w:after="160" w:line="278" w:lineRule="auto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customStyle="1" w:styleId="28">
    <w:name w:val="批注文字 字符"/>
    <w:basedOn w:val="20"/>
    <w:link w:val="7"/>
    <w:qFormat/>
    <w:uiPriority w:val="99"/>
    <w:rPr>
      <w:rFonts w:eastAsia="仿宋" w:cstheme="minorBidi"/>
      <w:kern w:val="2"/>
      <w:sz w:val="32"/>
      <w:szCs w:val="22"/>
    </w:rPr>
  </w:style>
  <w:style w:type="character" w:customStyle="1" w:styleId="29">
    <w:name w:val="标题 1 字符"/>
    <w:basedOn w:val="20"/>
    <w:link w:val="3"/>
    <w:qFormat/>
    <w:uiPriority w:val="9"/>
    <w:rPr>
      <w:rFonts w:eastAsia="黑体" w:cstheme="minorBidi"/>
      <w:b/>
      <w:bCs/>
      <w:kern w:val="44"/>
      <w:sz w:val="36"/>
      <w:szCs w:val="44"/>
    </w:rPr>
  </w:style>
  <w:style w:type="character" w:customStyle="1" w:styleId="30">
    <w:name w:val="标题 2 字符"/>
    <w:basedOn w:val="20"/>
    <w:link w:val="4"/>
    <w:qFormat/>
    <w:uiPriority w:val="9"/>
    <w:rPr>
      <w:rFonts w:ascii="仿宋_GB2312" w:eastAsia="楷体_GB2312" w:cstheme="majorBidi"/>
      <w:b/>
      <w:bCs/>
      <w:kern w:val="2"/>
      <w:sz w:val="32"/>
      <w:szCs w:val="32"/>
    </w:rPr>
  </w:style>
  <w:style w:type="character" w:customStyle="1" w:styleId="31">
    <w:name w:val="纯文本 字符"/>
    <w:basedOn w:val="20"/>
    <w:link w:val="8"/>
    <w:qFormat/>
    <w:uiPriority w:val="99"/>
    <w:rPr>
      <w:rFonts w:ascii="宋体" w:hAnsi="Courier New"/>
      <w:kern w:val="2"/>
      <w:sz w:val="21"/>
    </w:rPr>
  </w:style>
  <w:style w:type="character" w:customStyle="1" w:styleId="32">
    <w:name w:val="批注主题 字符"/>
    <w:basedOn w:val="28"/>
    <w:link w:val="17"/>
    <w:qFormat/>
    <w:uiPriority w:val="0"/>
    <w:rPr>
      <w:rFonts w:eastAsia="仿宋" w:cstheme="minorBidi"/>
      <w:b/>
      <w:bCs/>
      <w:kern w:val="2"/>
      <w:sz w:val="32"/>
      <w:szCs w:val="22"/>
    </w:rPr>
  </w:style>
  <w:style w:type="paragraph" w:customStyle="1" w:styleId="33">
    <w:name w:val="正文_0_0"/>
    <w:qFormat/>
    <w:uiPriority w:val="0"/>
    <w:pPr>
      <w:widowControl w:val="0"/>
      <w:spacing w:after="160" w:line="278" w:lineRule="auto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paragraph" w:customStyle="1" w:styleId="34">
    <w:name w:val="修订3"/>
    <w:hidden/>
    <w:unhideWhenUsed/>
    <w:qFormat/>
    <w:uiPriority w:val="99"/>
    <w:pPr>
      <w:spacing w:after="160" w:line="278" w:lineRule="auto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customStyle="1" w:styleId="35">
    <w:name w:val="标题 字符"/>
    <w:basedOn w:val="20"/>
    <w:link w:val="16"/>
    <w:qFormat/>
    <w:uiPriority w:val="10"/>
    <w:rPr>
      <w:rFonts w:ascii="Cambria" w:hAnsi="Cambria" w:eastAsia="仿宋" w:cstheme="minorBidi"/>
      <w:b/>
      <w:bCs/>
      <w:kern w:val="2"/>
      <w:sz w:val="32"/>
      <w:szCs w:val="32"/>
    </w:rPr>
  </w:style>
  <w:style w:type="character" w:customStyle="1" w:styleId="36">
    <w:name w:val="脚注文本 字符"/>
    <w:basedOn w:val="20"/>
    <w:link w:val="13"/>
    <w:qFormat/>
    <w:uiPriority w:val="99"/>
    <w:rPr>
      <w:rFonts w:ascii="仿宋_GB2312" w:hAnsi="仿宋_GB2312" w:eastAsia="仿宋_GB2312" w:cs="仿宋_GB2312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/>
    </w:pPr>
  </w:style>
  <w:style w:type="character" w:customStyle="1" w:styleId="38">
    <w:name w:val="页脚 字符"/>
    <w:basedOn w:val="20"/>
    <w:link w:val="9"/>
    <w:qFormat/>
    <w:uiPriority w:val="99"/>
    <w:rPr>
      <w:rFonts w:eastAsia="仿宋_GB2312" w:cstheme="minorBidi"/>
      <w:kern w:val="2"/>
      <w:sz w:val="18"/>
      <w:szCs w:val="18"/>
    </w:rPr>
  </w:style>
  <w:style w:type="paragraph" w:customStyle="1" w:styleId="39">
    <w:name w:val="修订4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40">
    <w:name w:val="修订5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41">
    <w:name w:val="正文文本 字符"/>
    <w:basedOn w:val="20"/>
    <w:link w:val="2"/>
    <w:qFormat/>
    <w:uiPriority w:val="99"/>
    <w:rPr>
      <w:rFonts w:eastAsia="仿宋_GB2312"/>
      <w:kern w:val="2"/>
      <w:sz w:val="32"/>
      <w:szCs w:val="22"/>
    </w:rPr>
  </w:style>
  <w:style w:type="paragraph" w:customStyle="1" w:styleId="42">
    <w:name w:val="修订6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43">
    <w:name w:val="修订7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44">
    <w:name w:val="修订8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45">
    <w:name w:val="标题 4 字符"/>
    <w:basedOn w:val="20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46">
    <w:name w:val="修订9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47">
    <w:name w:val="修订10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48">
    <w:name w:val="修订11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49">
    <w:name w:val="修订12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50">
    <w:name w:val="修订13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51">
    <w:name w:val="修订14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52">
    <w:name w:val="修订15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53">
    <w:name w:val="修订16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54">
    <w:name w:val="副标题 字符"/>
    <w:basedOn w:val="20"/>
    <w:link w:val="12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55">
    <w:name w:val="修订17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56">
    <w:name w:val="修订18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57">
    <w:name w:val="修订19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58">
    <w:name w:val="修订20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59">
    <w:name w:val="修订21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1824</Words>
  <Characters>10403</Characters>
  <Lines>86</Lines>
  <Paragraphs>24</Paragraphs>
  <TotalTime>4</TotalTime>
  <ScaleCrop>false</ScaleCrop>
  <LinksUpToDate>false</LinksUpToDate>
  <CharactersWithSpaces>12203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2026-05-09T02:43:00Z</dcterms:created>
  <dc:creator>Y</dc:creator>
  <cp:lastModifiedBy>kylin</cp:lastModifiedBy>
  <cp:lastPrinted>2026-04-10T08:20:00Z</cp:lastPrinted>
  <dcterms:modified xsi:type="dcterms:W3CDTF">2026-05-13T10:38:48Z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71487D103B2DB55FECF4FE6998237B08</vt:lpwstr>
  </property>
  <property fmtid="{D5CDD505-2E9C-101B-9397-08002B2CF9AE}" pid="4" name="KSOTemplateDocerSaveRecord">
    <vt:lpwstr>eyJoZGlkIjoiZGY1ZjdjZTNmOTUyZmE2MzIxZjAxNzM2YjcyZTk0MDYiLCJ1c2VySWQiOiI0NTI5OTA5MDYifQ==</vt:lpwstr>
  </property>
</Properties>
</file>