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360" w:lineRule="auto"/>
        <w:ind w:firstLine="0" w:firstLineChars="0"/>
        <w:jc w:val="both"/>
        <w:rPr>
          <w:rFonts w:ascii="仿宋_GB2312" w:hAnsi="仿宋_GB2312" w:eastAsia="仿宋_GB2312" w:cs="仿宋_GB2312"/>
          <w:b/>
          <w:sz w:val="44"/>
          <w:szCs w:val="44"/>
          <w:lang w:bidi="ar"/>
        </w:rPr>
      </w:pPr>
      <w:r>
        <w:rPr>
          <w:rFonts w:hint="eastAsia" w:ascii="仿宋_GB2312" w:hAnsi="仿宋_GB2312" w:eastAsia="仿宋_GB2312" w:cs="仿宋_GB2312"/>
          <w:b/>
          <w:sz w:val="44"/>
          <w:szCs w:val="44"/>
          <w:lang w:bidi="ar"/>
        </w:rPr>
        <w:t>《深圳市互联网租赁自行车企业运营服务考核细则》意见采纳情况一览表</w:t>
      </w:r>
    </w:p>
    <w:p/>
    <w:tbl>
      <w:tblPr>
        <w:tblStyle w:val="10"/>
        <w:tblW w:w="1414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067"/>
        <w:gridCol w:w="6212"/>
        <w:gridCol w:w="1417"/>
        <w:gridCol w:w="4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rPr>
            </w:pPr>
            <w:r>
              <w:rPr>
                <w:rFonts w:hint="eastAsia" w:ascii="仿宋" w:hAnsi="仿宋" w:eastAsia="仿宋" w:cs="仿宋"/>
                <w:b/>
                <w:kern w:val="0"/>
                <w:sz w:val="24"/>
                <w:lang w:bidi="ar"/>
              </w:rPr>
              <w:t>序号</w:t>
            </w:r>
          </w:p>
        </w:tc>
        <w:tc>
          <w:tcPr>
            <w:tcW w:w="106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rPr>
            </w:pPr>
            <w:r>
              <w:rPr>
                <w:rFonts w:hint="eastAsia" w:ascii="仿宋" w:hAnsi="仿宋" w:eastAsia="仿宋" w:cs="仿宋"/>
                <w:b/>
                <w:kern w:val="0"/>
                <w:sz w:val="24"/>
                <w:lang w:bidi="ar"/>
              </w:rPr>
              <w:t>单位</w:t>
            </w:r>
          </w:p>
        </w:tc>
        <w:tc>
          <w:tcPr>
            <w:tcW w:w="6212"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rPr>
            </w:pPr>
            <w:r>
              <w:rPr>
                <w:rFonts w:hint="eastAsia" w:ascii="仿宋" w:hAnsi="仿宋" w:eastAsia="仿宋" w:cs="仿宋"/>
                <w:b/>
                <w:kern w:val="0"/>
                <w:sz w:val="24"/>
                <w:lang w:bidi="ar"/>
              </w:rPr>
              <w:t>意见建议</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ind w:left="193" w:leftChars="92"/>
              <w:jc w:val="center"/>
              <w:rPr>
                <w:rFonts w:ascii="仿宋" w:hAnsi="仿宋" w:eastAsia="仿宋" w:cs="仿宋"/>
                <w:b/>
                <w:kern w:val="0"/>
                <w:sz w:val="24"/>
              </w:rPr>
            </w:pPr>
            <w:r>
              <w:rPr>
                <w:rFonts w:hint="eastAsia" w:ascii="仿宋" w:hAnsi="仿宋" w:eastAsia="仿宋" w:cs="仿宋"/>
                <w:b/>
                <w:kern w:val="0"/>
                <w:sz w:val="24"/>
                <w:lang w:bidi="ar"/>
              </w:rPr>
              <w:t>采纳情况</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rPr>
            </w:pPr>
            <w:r>
              <w:rPr>
                <w:rFonts w:hint="eastAsia" w:ascii="仿宋" w:hAnsi="仿宋" w:eastAsia="仿宋" w:cs="仿宋"/>
                <w:b/>
                <w:kern w:val="0"/>
                <w:sz w:val="24"/>
                <w:lang w:bidi="ar"/>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restart"/>
            <w:tcBorders>
              <w:top w:val="nil"/>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lang w:bidi="ar"/>
              </w:rPr>
              <w:t>深圳摩拜信息技术有限公司</w:t>
            </w:r>
          </w:p>
        </w:tc>
        <w:tc>
          <w:tcPr>
            <w:tcW w:w="6212"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ind w:firstLine="480" w:firstLineChars="200"/>
              <w:rPr>
                <w:rFonts w:ascii="仿宋" w:hAnsi="仿宋" w:eastAsia="仿宋" w:cs="仿宋"/>
                <w:sz w:val="24"/>
              </w:rPr>
            </w:pPr>
            <w:r>
              <w:rPr>
                <w:rFonts w:hint="eastAsia" w:ascii="仿宋" w:hAnsi="仿宋" w:eastAsia="仿宋" w:cs="仿宋"/>
                <w:sz w:val="24"/>
                <w:lang w:bidi="ar"/>
              </w:rPr>
              <w:t>建议在《考核细则》正文第四条（考核内容）增加“</w:t>
            </w:r>
            <w:r>
              <w:rPr>
                <w:rFonts w:hint="eastAsia" w:ascii="仿宋" w:hAnsi="仿宋" w:eastAsia="仿宋" w:cs="仿宋"/>
                <w:b/>
                <w:sz w:val="24"/>
                <w:lang w:bidi="ar"/>
              </w:rPr>
              <w:t>调整考核指标体系以及评分标准时需征求运营企业的意见</w:t>
            </w:r>
            <w:r>
              <w:rPr>
                <w:rFonts w:hint="eastAsia" w:ascii="仿宋" w:hAnsi="仿宋" w:eastAsia="仿宋" w:cs="仿宋"/>
                <w:sz w:val="24"/>
                <w:lang w:bidi="ar"/>
              </w:rPr>
              <w:t>”。</w:t>
            </w:r>
          </w:p>
          <w:p>
            <w:pPr>
              <w:widowControl/>
              <w:autoSpaceDE w:val="0"/>
              <w:spacing w:line="360" w:lineRule="auto"/>
              <w:rPr>
                <w:rFonts w:ascii="仿宋" w:hAnsi="仿宋" w:eastAsia="仿宋" w:cs="仿宋"/>
                <w:kern w:val="0"/>
                <w:sz w:val="24"/>
              </w:rPr>
            </w:pPr>
            <w:r>
              <w:rPr>
                <w:rFonts w:hint="eastAsia" w:ascii="仿宋" w:hAnsi="仿宋" w:eastAsia="仿宋" w:cs="仿宋"/>
                <w:sz w:val="24"/>
                <w:lang w:bidi="ar"/>
              </w:rPr>
              <w:t xml:space="preserve">    理由：运营企业作为行业的一份子，有责任和义务参与到考核细则的修改中，从实际运营中提出意见和建议，这样更加公平公正公开。</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ind w:firstLine="0" w:firstLineChars="0"/>
              <w:jc w:val="center"/>
              <w:rPr>
                <w:rFonts w:ascii="仿宋" w:hAnsi="仿宋" w:eastAsia="仿宋" w:cs="仿宋"/>
                <w:kern w:val="0"/>
                <w:sz w:val="24"/>
              </w:rPr>
            </w:pPr>
            <w:r>
              <w:rPr>
                <w:rFonts w:hint="eastAsia" w:ascii="仿宋" w:hAnsi="仿宋" w:eastAsia="仿宋" w:cs="仿宋"/>
                <w:kern w:val="0"/>
                <w:sz w:val="24"/>
              </w:rPr>
              <w:t>部分采纳</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sz w:val="24"/>
                <w:lang w:bidi="ar"/>
              </w:rPr>
              <w:t>考核指标体系及评分标准根据我市互联网租赁自行车行业管理实际适时调整，届时在组织指标调整研讨工作会过程中，按照有关程序征求相关部门及企业意见。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ind w:firstLine="480" w:firstLineChars="200"/>
              <w:rPr>
                <w:rFonts w:ascii="仿宋" w:hAnsi="仿宋" w:eastAsia="仿宋" w:cs="仿宋"/>
                <w:sz w:val="24"/>
              </w:rPr>
            </w:pPr>
            <w:r>
              <w:rPr>
                <w:rFonts w:hint="eastAsia" w:ascii="仿宋" w:hAnsi="仿宋" w:eastAsia="仿宋" w:cs="仿宋"/>
                <w:sz w:val="24"/>
                <w:lang w:bidi="ar"/>
              </w:rPr>
              <w:t>建议将附件《深圳市互联网租赁自行车运营服务考核指标体系》（下称“附件”）第2条“活跃车辆”定义中的“</w:t>
            </w:r>
            <w:r>
              <w:rPr>
                <w:rFonts w:hint="eastAsia" w:ascii="仿宋" w:hAnsi="仿宋" w:eastAsia="仿宋" w:cs="仿宋"/>
                <w:b/>
                <w:sz w:val="24"/>
                <w:lang w:bidi="ar"/>
              </w:rPr>
              <w:t>168小时</w:t>
            </w:r>
            <w:r>
              <w:rPr>
                <w:rFonts w:hint="eastAsia" w:ascii="仿宋" w:hAnsi="仿宋" w:eastAsia="仿宋" w:cs="仿宋"/>
                <w:sz w:val="24"/>
                <w:lang w:bidi="ar"/>
              </w:rPr>
              <w:t>”延长为“</w:t>
            </w:r>
            <w:r>
              <w:rPr>
                <w:rFonts w:hint="eastAsia" w:ascii="仿宋" w:hAnsi="仿宋" w:eastAsia="仿宋" w:cs="仿宋"/>
                <w:b/>
                <w:sz w:val="24"/>
                <w:lang w:bidi="ar"/>
              </w:rPr>
              <w:t>336小时（两周）</w:t>
            </w:r>
            <w:r>
              <w:rPr>
                <w:rFonts w:hint="eastAsia" w:ascii="仿宋" w:hAnsi="仿宋" w:eastAsia="仿宋" w:cs="仿宋"/>
                <w:sz w:val="24"/>
                <w:lang w:bidi="ar"/>
              </w:rPr>
              <w:t>”</w:t>
            </w:r>
          </w:p>
          <w:p>
            <w:pPr>
              <w:widowControl/>
              <w:autoSpaceDE w:val="0"/>
              <w:spacing w:line="360" w:lineRule="auto"/>
              <w:ind w:firstLine="640"/>
              <w:rPr>
                <w:rFonts w:ascii="仿宋" w:hAnsi="仿宋" w:eastAsia="仿宋" w:cs="仿宋"/>
                <w:kern w:val="0"/>
                <w:sz w:val="24"/>
              </w:rPr>
            </w:pPr>
            <w:r>
              <w:rPr>
                <w:rFonts w:hint="eastAsia" w:ascii="仿宋" w:hAnsi="仿宋" w:eastAsia="仿宋" w:cs="仿宋"/>
                <w:sz w:val="24"/>
                <w:lang w:bidi="ar"/>
              </w:rPr>
              <w:t>理由：一是从运营经验上看，外围区域用户使用需求远低于核心市区，进而导致车辆的资产效率降低，活跃度降低；二是外围区域运营企业干预效率变低、活跃车辆周期势必拉长，同时外围有更多的人为破坏，找寻、干预周期拉长。因此，基于外围区域的上述特点，若能将衡量车辆活跃度的周期适当拉长，将更有利于运营企业拓展服务范围，更好的服务关外市民。</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kern w:val="0"/>
                <w:sz w:val="24"/>
              </w:rPr>
            </w:pPr>
            <w:r>
              <w:rPr>
                <w:rFonts w:hint="eastAsia" w:ascii="仿宋" w:hAnsi="仿宋" w:eastAsia="仿宋" w:cs="仿宋"/>
                <w:kern w:val="0"/>
                <w:sz w:val="24"/>
              </w:rPr>
              <w:t>解释</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rPr>
              <w:t>互联</w:t>
            </w:r>
            <w:bookmarkStart w:id="0" w:name="_GoBack"/>
            <w:bookmarkEnd w:id="0"/>
            <w:r>
              <w:rPr>
                <w:rFonts w:hint="eastAsia" w:ascii="仿宋" w:hAnsi="仿宋" w:eastAsia="仿宋" w:cs="仿宋"/>
                <w:kern w:val="0"/>
                <w:sz w:val="24"/>
              </w:rPr>
              <w:t>网租赁自行车企业主要利用“公共空间”提供服务，为提升公共空间资源使用效率，满足市民骑行需求，企业应落实主体责任加强车辆调度，避免车辆成为“僵尸车”，长时间低效占用道路资源。此外，此项考核标准无需根据区域特点制定差异化考核标准，进而确保考核的公平、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ind w:firstLine="480" w:firstLineChars="200"/>
              <w:rPr>
                <w:rFonts w:ascii="仿宋" w:hAnsi="仿宋" w:eastAsia="仿宋" w:cs="仿宋"/>
                <w:sz w:val="24"/>
              </w:rPr>
            </w:pPr>
            <w:r>
              <w:rPr>
                <w:rFonts w:hint="eastAsia" w:ascii="仿宋" w:hAnsi="仿宋" w:eastAsia="仿宋" w:cs="仿宋"/>
                <w:sz w:val="24"/>
                <w:lang w:bidi="ar"/>
              </w:rPr>
              <w:t>建议在附件第4条“</w:t>
            </w:r>
            <w:r>
              <w:rPr>
                <w:rFonts w:hint="eastAsia" w:ascii="仿宋" w:hAnsi="仿宋" w:eastAsia="仿宋" w:cs="仿宋"/>
                <w:b/>
                <w:sz w:val="24"/>
                <w:lang w:bidi="ar"/>
              </w:rPr>
              <w:t>车辆不整洁情况</w:t>
            </w:r>
            <w:r>
              <w:rPr>
                <w:rFonts w:hint="eastAsia" w:ascii="仿宋" w:hAnsi="仿宋" w:eastAsia="仿宋" w:cs="仿宋"/>
                <w:sz w:val="24"/>
                <w:lang w:bidi="ar"/>
              </w:rPr>
              <w:t>”所包含的具体情形中增加“</w:t>
            </w:r>
            <w:r>
              <w:rPr>
                <w:rFonts w:hint="eastAsia" w:ascii="仿宋" w:hAnsi="仿宋" w:eastAsia="仿宋" w:cs="仿宋"/>
                <w:b/>
                <w:sz w:val="24"/>
                <w:lang w:bidi="ar"/>
              </w:rPr>
              <w:t>车辆老旧度</w:t>
            </w:r>
            <w:r>
              <w:rPr>
                <w:rFonts w:hint="eastAsia" w:ascii="仿宋" w:hAnsi="仿宋" w:eastAsia="仿宋" w:cs="仿宋"/>
                <w:sz w:val="24"/>
                <w:lang w:bidi="ar"/>
              </w:rPr>
              <w:t>”。</w:t>
            </w:r>
          </w:p>
          <w:p>
            <w:pPr>
              <w:widowControl/>
              <w:autoSpaceDE w:val="0"/>
              <w:spacing w:line="360" w:lineRule="auto"/>
              <w:rPr>
                <w:rFonts w:ascii="仿宋" w:hAnsi="仿宋" w:eastAsia="仿宋" w:cs="仿宋"/>
                <w:kern w:val="0"/>
                <w:sz w:val="24"/>
              </w:rPr>
            </w:pPr>
            <w:r>
              <w:rPr>
                <w:rFonts w:hint="eastAsia" w:ascii="仿宋" w:hAnsi="仿宋" w:eastAsia="仿宋" w:cs="仿宋"/>
                <w:sz w:val="24"/>
                <w:lang w:bidi="ar"/>
              </w:rPr>
              <w:t xml:space="preserve">    理由：一是各运营企业应该在深圳投放运营新车型，增加“车辆老旧度”有利于对此项要求进行考核；二是车辆老旧度体现运营企业对车辆运营的认真程度。</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ind w:firstLine="240" w:firstLineChars="100"/>
              <w:jc w:val="center"/>
              <w:rPr>
                <w:rFonts w:ascii="仿宋" w:hAnsi="仿宋" w:eastAsia="仿宋" w:cs="仿宋"/>
                <w:kern w:val="0"/>
                <w:sz w:val="24"/>
              </w:rPr>
            </w:pPr>
            <w:r>
              <w:rPr>
                <w:rFonts w:hint="eastAsia" w:ascii="仿宋" w:hAnsi="仿宋" w:eastAsia="仿宋" w:cs="仿宋"/>
                <w:kern w:val="0"/>
                <w:sz w:val="24"/>
              </w:rPr>
              <w:t>采纳</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rPr>
              <w:t>一方面，指标第3项“车辆完好率”中主要考核企业投放的完好程度，车辆老旧度直接影响车辆骑行安全，可在此指标评分标准中体现。</w:t>
            </w:r>
          </w:p>
          <w:p>
            <w:pPr>
              <w:widowControl/>
              <w:autoSpaceDE w:val="0"/>
              <w:spacing w:line="360" w:lineRule="auto"/>
              <w:rPr>
                <w:rFonts w:ascii="仿宋" w:hAnsi="仿宋" w:eastAsia="仿宋" w:cs="仿宋"/>
                <w:kern w:val="0"/>
                <w:sz w:val="24"/>
              </w:rPr>
            </w:pPr>
            <w:r>
              <w:rPr>
                <w:rFonts w:hint="eastAsia" w:ascii="仿宋" w:hAnsi="仿宋" w:eastAsia="仿宋" w:cs="仿宋"/>
                <w:kern w:val="0"/>
                <w:sz w:val="24"/>
              </w:rPr>
              <w:t>另一方面，老旧车辆直接影响市民骑行体验，企业应结合车辆使用期限及车况情况，及时置换更新车辆，确保“市民满意度”指标得到较高分值。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ind w:firstLine="480" w:firstLineChars="200"/>
              <w:rPr>
                <w:rFonts w:ascii="仿宋" w:hAnsi="仿宋" w:eastAsia="仿宋" w:cs="仿宋"/>
                <w:sz w:val="24"/>
              </w:rPr>
            </w:pPr>
            <w:r>
              <w:rPr>
                <w:rFonts w:hint="eastAsia" w:ascii="仿宋" w:hAnsi="仿宋" w:eastAsia="仿宋" w:cs="仿宋"/>
                <w:sz w:val="24"/>
                <w:lang w:bidi="ar"/>
              </w:rPr>
              <w:t>建议进一步明确附件第8条“</w:t>
            </w:r>
            <w:r>
              <w:rPr>
                <w:rFonts w:hint="eastAsia" w:ascii="仿宋" w:hAnsi="仿宋" w:eastAsia="仿宋" w:cs="仿宋"/>
                <w:b/>
                <w:sz w:val="24"/>
                <w:lang w:bidi="ar"/>
              </w:rPr>
              <w:t>定点停放管理</w:t>
            </w:r>
            <w:r>
              <w:rPr>
                <w:rFonts w:hint="eastAsia" w:ascii="仿宋" w:hAnsi="仿宋" w:eastAsia="仿宋" w:cs="仿宋"/>
                <w:sz w:val="24"/>
                <w:lang w:bidi="ar"/>
              </w:rPr>
              <w:t>”的抽查范围，可在第8条“指标说明及标准值”中增加抽查范围的规定，即建议补充“</w:t>
            </w:r>
            <w:r>
              <w:rPr>
                <w:rFonts w:hint="eastAsia" w:ascii="仿宋" w:hAnsi="仿宋" w:eastAsia="仿宋" w:cs="仿宋"/>
                <w:b/>
                <w:sz w:val="24"/>
                <w:lang w:bidi="ar"/>
              </w:rPr>
              <w:t>在严管地区进行抽检</w:t>
            </w:r>
            <w:r>
              <w:rPr>
                <w:rFonts w:hint="eastAsia" w:ascii="仿宋" w:hAnsi="仿宋" w:eastAsia="仿宋" w:cs="仿宋"/>
                <w:sz w:val="24"/>
                <w:lang w:bidi="ar"/>
              </w:rPr>
              <w:t>，</w:t>
            </w:r>
            <w:r>
              <w:rPr>
                <w:rFonts w:hint="eastAsia" w:ascii="仿宋" w:hAnsi="仿宋" w:eastAsia="仿宋" w:cs="仿宋"/>
                <w:b/>
                <w:sz w:val="24"/>
                <w:lang w:bidi="ar"/>
              </w:rPr>
              <w:t>且检查时各运营企业都在场见证</w:t>
            </w:r>
            <w:r>
              <w:rPr>
                <w:rFonts w:hint="eastAsia" w:ascii="仿宋" w:hAnsi="仿宋" w:eastAsia="仿宋" w:cs="仿宋"/>
                <w:sz w:val="24"/>
                <w:lang w:bidi="ar"/>
              </w:rPr>
              <w:t>”</w:t>
            </w:r>
          </w:p>
          <w:p>
            <w:pPr>
              <w:widowControl/>
              <w:autoSpaceDE w:val="0"/>
              <w:spacing w:line="360" w:lineRule="auto"/>
              <w:ind w:firstLine="480" w:firstLineChars="200"/>
              <w:rPr>
                <w:rFonts w:ascii="仿宋" w:hAnsi="仿宋" w:eastAsia="仿宋" w:cs="仿宋"/>
                <w:kern w:val="0"/>
                <w:sz w:val="24"/>
              </w:rPr>
            </w:pPr>
            <w:r>
              <w:rPr>
                <w:rFonts w:hint="eastAsia" w:ascii="仿宋" w:hAnsi="仿宋" w:eastAsia="仿宋" w:cs="仿宋"/>
                <w:sz w:val="24"/>
                <w:lang w:bidi="ar"/>
              </w:rPr>
              <w:t>理由：一是定点停放管理是为了管理问题突出的地方，建议明确在严管地区抽查；二是定点停放技术的准确程度与周边环境息息相关，技术上在一些区域很难做到如此高的入栏率；三是抽查时各运营企业均在场，既保证了评分更加公平公正公开，同时运营企业对发现的问题感知更多深刻，便于纠正提升。</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kern w:val="0"/>
                <w:sz w:val="24"/>
              </w:rPr>
            </w:pPr>
            <w:r>
              <w:rPr>
                <w:rFonts w:hint="eastAsia" w:ascii="仿宋" w:hAnsi="仿宋" w:eastAsia="仿宋" w:cs="仿宋"/>
                <w:kern w:val="0"/>
                <w:sz w:val="24"/>
              </w:rPr>
              <w:t>解释</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rPr>
              <w:t>我市互联网租赁自行车全面推行“入栏结算、定点停放”模式，且运营车辆全部为高精定位车辆；同时若部分车辆未入栏停放，则企业应加强线下运营管理，确保车辆入栏。因此，“定点停放管理”指标的考核将在全市范围内进行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autoSpaceDE w:val="0"/>
              <w:spacing w:line="360" w:lineRule="auto"/>
              <w:ind w:firstLine="480" w:firstLineChars="200"/>
              <w:outlineLvl w:val="1"/>
              <w:rPr>
                <w:rFonts w:ascii="仿宋" w:hAnsi="仿宋" w:eastAsia="仿宋" w:cs="仿宋"/>
                <w:sz w:val="24"/>
              </w:rPr>
            </w:pPr>
            <w:r>
              <w:rPr>
                <w:rFonts w:hint="eastAsia" w:ascii="仿宋" w:hAnsi="仿宋" w:eastAsia="仿宋" w:cs="仿宋"/>
                <w:sz w:val="24"/>
                <w:lang w:bidi="ar"/>
              </w:rPr>
              <w:t>建议将附件第11条中“</w:t>
            </w:r>
            <w:r>
              <w:rPr>
                <w:rFonts w:hint="eastAsia" w:ascii="仿宋" w:hAnsi="仿宋" w:eastAsia="仿宋" w:cs="仿宋"/>
                <w:b/>
                <w:sz w:val="24"/>
                <w:lang w:bidi="ar"/>
              </w:rPr>
              <w:t>车辆在线率</w:t>
            </w:r>
            <w:r>
              <w:rPr>
                <w:rFonts w:hint="eastAsia" w:ascii="仿宋" w:hAnsi="仿宋" w:eastAsia="仿宋" w:cs="仿宋"/>
                <w:sz w:val="24"/>
                <w:lang w:bidi="ar"/>
              </w:rPr>
              <w:t>”修改为“</w:t>
            </w:r>
            <w:r>
              <w:rPr>
                <w:rFonts w:hint="eastAsia" w:ascii="仿宋" w:hAnsi="仿宋" w:eastAsia="仿宋" w:cs="仿宋"/>
                <w:b/>
                <w:sz w:val="24"/>
                <w:lang w:bidi="ar"/>
              </w:rPr>
              <w:t>车辆扫码合规率”，并且按如下方式评分：97</w:t>
            </w:r>
            <w:r>
              <w:rPr>
                <w:rFonts w:hint="eastAsia" w:ascii="仿宋" w:hAnsi="仿宋" w:eastAsia="仿宋" w:cs="仿宋"/>
                <w:b/>
                <w:kern w:val="0"/>
                <w:sz w:val="24"/>
                <w:lang w:bidi="ar"/>
              </w:rPr>
              <w:t>%≤车辆扫码合规率＜100%，得5分；96.5%≤车辆扫码合规率＜97% ，得4分；96%≤车辆扫码合规率＜96.5% ，得2分；95.5%≤车辆扫码合规率＜96% ，得1分；车辆扫码合规率＜95.5% ，得0分；</w:t>
            </w:r>
            <w:r>
              <w:rPr>
                <w:rFonts w:hint="eastAsia" w:ascii="仿宋" w:hAnsi="仿宋" w:eastAsia="仿宋" w:cs="仿宋"/>
                <w:b/>
                <w:sz w:val="24"/>
                <w:lang w:bidi="ar"/>
              </w:rPr>
              <w:t>车辆扫码合规率低于95%，视为不诚信现象，应额外扣分10分（注：通过线下抽查方式且每月进行一次抽查，车辆扫码合规率=线下扫码合规车辆数/线下扫码抽查车辆数*100%）</w:t>
            </w:r>
            <w:r>
              <w:rPr>
                <w:rFonts w:hint="eastAsia" w:ascii="仿宋" w:hAnsi="仿宋" w:eastAsia="仿宋" w:cs="仿宋"/>
                <w:sz w:val="24"/>
                <w:lang w:bidi="ar"/>
              </w:rPr>
              <w:t>”。</w:t>
            </w:r>
          </w:p>
          <w:p>
            <w:pPr>
              <w:autoSpaceDE w:val="0"/>
              <w:spacing w:line="360" w:lineRule="auto"/>
              <w:ind w:firstLine="480" w:firstLineChars="200"/>
              <w:outlineLvl w:val="1"/>
              <w:rPr>
                <w:rFonts w:ascii="仿宋" w:hAnsi="仿宋" w:eastAsia="仿宋" w:cs="仿宋"/>
                <w:kern w:val="0"/>
                <w:sz w:val="24"/>
              </w:rPr>
            </w:pPr>
            <w:r>
              <w:rPr>
                <w:rFonts w:hint="eastAsia" w:ascii="仿宋" w:hAnsi="仿宋" w:eastAsia="仿宋" w:cs="仿宋"/>
                <w:sz w:val="24"/>
                <w:lang w:bidi="ar"/>
              </w:rPr>
              <w:t>理由：一是车辆在线率定义并不明确，平台在线车辆规模的定义并不清晰；二是个别企业可能钻系统漏洞，恶意作弊刷单，仅通过车辆在线率考核，监管作用有限；三是车辆扫码合规率是监管运营企业超投的重要依据，是企业数据合规接入市交通局数据平台的重要部分，体现数据监管的有效性和合理性、客观性；四是车辆扫码合规率为企业之间公平竞争提供了有利数据支撑；五是对于车辆扫码合规率低于95%的企业，属于明显的恶意违投行为，应该额外进行坚决打击；六是车辆在线率并不能有效的展现上述第三、四、五项内容。</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kern w:val="0"/>
                <w:sz w:val="24"/>
              </w:rPr>
            </w:pPr>
            <w:r>
              <w:rPr>
                <w:rFonts w:hint="eastAsia" w:ascii="仿宋" w:hAnsi="仿宋" w:eastAsia="仿宋" w:cs="仿宋"/>
                <w:kern w:val="0"/>
                <w:sz w:val="24"/>
              </w:rPr>
              <w:t>解释</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rPr>
              <w:t>“数据接入”指标中的“车辆在线率”主要考核企业是否实时接入车辆数据，且加强“失联”车辆维护；而建议中提到的“车辆扫码合规率”主要为考核企业是否有违投行为，第12项“车辆投放管理”考核指标已有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autoSpaceDE w:val="0"/>
              <w:spacing w:line="360" w:lineRule="auto"/>
              <w:ind w:firstLine="480" w:firstLineChars="200"/>
              <w:outlineLvl w:val="1"/>
              <w:rPr>
                <w:rFonts w:ascii="仿宋" w:hAnsi="仿宋" w:eastAsia="仿宋" w:cs="仿宋"/>
                <w:sz w:val="24"/>
              </w:rPr>
            </w:pPr>
            <w:r>
              <w:rPr>
                <w:rFonts w:hint="eastAsia" w:ascii="仿宋" w:hAnsi="仿宋" w:eastAsia="仿宋" w:cs="仿宋"/>
                <w:sz w:val="24"/>
                <w:lang w:bidi="ar"/>
              </w:rPr>
              <w:t>建议将附件第12条“</w:t>
            </w:r>
            <w:r>
              <w:rPr>
                <w:rFonts w:hint="eastAsia" w:ascii="仿宋" w:hAnsi="仿宋" w:eastAsia="仿宋" w:cs="仿宋"/>
                <w:b/>
                <w:sz w:val="24"/>
                <w:lang w:bidi="ar"/>
              </w:rPr>
              <w:t>车辆投放管理</w:t>
            </w:r>
            <w:r>
              <w:rPr>
                <w:rFonts w:hint="eastAsia" w:ascii="仿宋" w:hAnsi="仿宋" w:eastAsia="仿宋" w:cs="仿宋"/>
                <w:sz w:val="24"/>
                <w:lang w:bidi="ar"/>
              </w:rPr>
              <w:t>”的考核指标修改为</w:t>
            </w:r>
            <w:r>
              <w:rPr>
                <w:rFonts w:hint="eastAsia" w:ascii="仿宋" w:hAnsi="仿宋" w:eastAsia="仿宋" w:cs="仿宋"/>
                <w:b/>
                <w:sz w:val="24"/>
                <w:lang w:bidi="ar"/>
              </w:rPr>
              <w:t>“投放比例”并且按季度进行考核。投放比例按照如下方式计算和评分：核算总投放数/投放配额数量=投放比例，备案车辆数量/季度平均车辆扫码合规率=核算投放数，此处季度平均车辆扫码合规率为该季度三个月的合规率的均值。若投放比例等于或大于105%，则视为超投，扣10分；若投放比例等于或大于108%，视为较重超投，扣20分；若投放比例等于或大于110%，视为严重超投，应直接判定本次考核不及格”</w:t>
            </w:r>
            <w:r>
              <w:rPr>
                <w:rFonts w:hint="eastAsia" w:ascii="仿宋" w:hAnsi="仿宋" w:eastAsia="仿宋" w:cs="仿宋"/>
                <w:sz w:val="24"/>
                <w:lang w:bidi="ar"/>
              </w:rPr>
              <w:t>。</w:t>
            </w:r>
          </w:p>
          <w:p>
            <w:pPr>
              <w:autoSpaceDE w:val="0"/>
              <w:spacing w:line="360" w:lineRule="auto"/>
              <w:ind w:firstLine="480" w:firstLineChars="200"/>
              <w:outlineLvl w:val="1"/>
              <w:rPr>
                <w:rFonts w:ascii="仿宋" w:hAnsi="仿宋" w:eastAsia="仿宋" w:cs="仿宋"/>
                <w:kern w:val="0"/>
                <w:sz w:val="24"/>
              </w:rPr>
            </w:pPr>
            <w:r>
              <w:rPr>
                <w:rFonts w:hint="eastAsia" w:ascii="仿宋" w:hAnsi="仿宋" w:eastAsia="仿宋" w:cs="仿宋"/>
                <w:sz w:val="24"/>
                <w:lang w:bidi="ar"/>
              </w:rPr>
              <w:t>理由：一是原第12条款中关于一般、较重、严重处罚对应的标准不明晰，在实际执行中将引发争议；二是企业将未经备案的互联网租赁自行车投放使用即为违投现象，违投现象极大影响了市场环境，造成企业间的不公平竞争，也为政府的管理增加了很多的难度，提高违投惩戒力度，违投事项应与招投标、配额直接挂钩；三是明确抽查时间和频次可进一步打击违投现象；四是属地处罚建议以明确的数据作为判罚依据。</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kern w:val="0"/>
                <w:sz w:val="24"/>
              </w:rPr>
            </w:pPr>
            <w:r>
              <w:rPr>
                <w:rFonts w:hint="eastAsia" w:ascii="仿宋" w:hAnsi="仿宋" w:eastAsia="仿宋" w:cs="仿宋"/>
                <w:kern w:val="0"/>
                <w:sz w:val="24"/>
              </w:rPr>
              <w:t>解释</w:t>
            </w:r>
          </w:p>
        </w:tc>
        <w:tc>
          <w:tcPr>
            <w:tcW w:w="4960" w:type="dxa"/>
            <w:tcBorders>
              <w:top w:val="single" w:color="auto" w:sz="4" w:space="0"/>
              <w:left w:val="nil"/>
              <w:bottom w:val="single" w:color="auto" w:sz="4" w:space="0"/>
              <w:right w:val="single" w:color="auto" w:sz="4" w:space="0"/>
            </w:tcBorders>
            <w:shd w:val="clear" w:color="auto" w:fill="auto"/>
            <w:vAlign w:val="center"/>
          </w:tcPr>
          <w:p>
            <w:pPr>
              <w:pStyle w:val="8"/>
              <w:widowControl/>
              <w:spacing w:before="0" w:beforeAutospacing="0" w:after="0" w:afterAutospacing="0" w:line="600" w:lineRule="exact"/>
              <w:rPr>
                <w:rFonts w:ascii="仿宋" w:hAnsi="仿宋" w:eastAsia="仿宋" w:cs="仿宋"/>
                <w:kern w:val="2"/>
                <w:lang w:bidi="ar"/>
              </w:rPr>
            </w:pPr>
            <w:r>
              <w:rPr>
                <w:rFonts w:hint="eastAsia" w:ascii="仿宋" w:hAnsi="仿宋" w:eastAsia="仿宋" w:cs="仿宋"/>
                <w:kern w:val="2"/>
                <w:lang w:bidi="ar"/>
              </w:rPr>
              <w:t>一方面，“车辆投放管理”考核标准为企业将未经备案的互联网租赁自行车投放使用的，视为违规投放。</w:t>
            </w:r>
          </w:p>
          <w:p>
            <w:pPr>
              <w:pStyle w:val="8"/>
              <w:widowControl/>
              <w:spacing w:before="0" w:beforeAutospacing="0" w:after="0" w:afterAutospacing="0" w:line="600" w:lineRule="exact"/>
              <w:rPr>
                <w:rFonts w:ascii="仿宋" w:hAnsi="仿宋" w:eastAsia="仿宋" w:cs="仿宋"/>
              </w:rPr>
            </w:pPr>
            <w:r>
              <w:rPr>
                <w:rFonts w:hint="eastAsia" w:ascii="仿宋" w:hAnsi="仿宋" w:eastAsia="仿宋" w:cs="仿宋"/>
                <w:kern w:val="2"/>
                <w:lang w:bidi="ar"/>
              </w:rPr>
              <w:t>另一方面，针对违投行为程度的裁量标注，已在《市交通运输局关于新增和修订部分行政处罚裁量标准（港航水运、综合）的通知》（深交字〔2021〕749号）予以明确。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autoSpaceDE w:val="0"/>
              <w:spacing w:line="360" w:lineRule="auto"/>
              <w:ind w:firstLine="480" w:firstLineChars="200"/>
              <w:outlineLvl w:val="1"/>
              <w:rPr>
                <w:rFonts w:ascii="仿宋" w:hAnsi="仿宋" w:eastAsia="仿宋" w:cs="仿宋"/>
                <w:sz w:val="24"/>
              </w:rPr>
            </w:pPr>
            <w:r>
              <w:rPr>
                <w:rFonts w:hint="eastAsia" w:ascii="仿宋" w:hAnsi="仿宋" w:eastAsia="仿宋" w:cs="仿宋"/>
                <w:sz w:val="24"/>
                <w:lang w:bidi="ar"/>
              </w:rPr>
              <w:t>建议在附件第12条“</w:t>
            </w:r>
            <w:r>
              <w:rPr>
                <w:rFonts w:hint="eastAsia" w:ascii="仿宋" w:hAnsi="仿宋" w:eastAsia="仿宋" w:cs="仿宋"/>
                <w:b/>
                <w:sz w:val="24"/>
                <w:lang w:bidi="ar"/>
              </w:rPr>
              <w:t>车辆投放管理</w:t>
            </w:r>
            <w:r>
              <w:rPr>
                <w:rFonts w:hint="eastAsia" w:ascii="仿宋" w:hAnsi="仿宋" w:eastAsia="仿宋" w:cs="仿宋"/>
                <w:sz w:val="24"/>
                <w:lang w:bidi="ar"/>
              </w:rPr>
              <w:t>”项下增加“</w:t>
            </w:r>
            <w:r>
              <w:rPr>
                <w:rFonts w:hint="eastAsia" w:ascii="仿宋" w:hAnsi="仿宋" w:eastAsia="仿宋" w:cs="仿宋"/>
                <w:b/>
                <w:sz w:val="24"/>
                <w:lang w:bidi="ar"/>
              </w:rPr>
              <w:t>向社会公开运营车辆备案库和核验库</w:t>
            </w:r>
            <w:r>
              <w:rPr>
                <w:rFonts w:hint="eastAsia" w:ascii="仿宋" w:hAnsi="仿宋" w:eastAsia="仿宋" w:cs="仿宋"/>
                <w:sz w:val="24"/>
                <w:lang w:bidi="ar"/>
              </w:rPr>
              <w:t>”。</w:t>
            </w:r>
          </w:p>
          <w:p>
            <w:pPr>
              <w:autoSpaceDE w:val="0"/>
              <w:spacing w:line="360" w:lineRule="auto"/>
              <w:ind w:firstLine="314" w:firstLineChars="131"/>
              <w:outlineLvl w:val="1"/>
              <w:rPr>
                <w:rFonts w:ascii="仿宋" w:hAnsi="仿宋" w:eastAsia="仿宋" w:cs="仿宋"/>
                <w:kern w:val="0"/>
                <w:sz w:val="24"/>
              </w:rPr>
            </w:pPr>
            <w:r>
              <w:rPr>
                <w:rFonts w:hint="eastAsia" w:ascii="仿宋" w:hAnsi="仿宋" w:eastAsia="仿宋" w:cs="仿宋"/>
                <w:sz w:val="24"/>
                <w:lang w:bidi="ar"/>
              </w:rPr>
              <w:t xml:space="preserve"> 理由：“</w:t>
            </w:r>
            <w:r>
              <w:rPr>
                <w:rFonts w:hint="eastAsia" w:ascii="仿宋" w:hAnsi="仿宋" w:eastAsia="仿宋" w:cs="仿宋"/>
                <w:b/>
                <w:sz w:val="24"/>
                <w:lang w:bidi="ar"/>
              </w:rPr>
              <w:t>向社会公开运营车辆备案库和核验库</w:t>
            </w:r>
            <w:r>
              <w:rPr>
                <w:rFonts w:hint="eastAsia" w:ascii="仿宋" w:hAnsi="仿宋" w:eastAsia="仿宋" w:cs="仿宋"/>
                <w:sz w:val="24"/>
                <w:lang w:bidi="ar"/>
              </w:rPr>
              <w:t>”属于引入社会监督和企业之间的监督的有效措施，通过“共享单车核查举报”小程序进行运营车辆备案库和核验库的公开比对，将使违投现象无所遁形，实现完全意义上的公平竞争。目前郑州、福州等地均已实现运营车辆备案库和核验库的双公开。</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kern w:val="0"/>
                <w:sz w:val="24"/>
              </w:rPr>
            </w:pPr>
            <w:r>
              <w:rPr>
                <w:rFonts w:hint="eastAsia" w:ascii="仿宋" w:hAnsi="仿宋" w:eastAsia="仿宋" w:cs="仿宋"/>
                <w:kern w:val="0"/>
                <w:sz w:val="24"/>
              </w:rPr>
              <w:t>采纳</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rPr>
              <w:t>我市已建立了公众参与的监督机制，市民可通过“共享单车举报”功能查询并举报车辆是否备案。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autoSpaceDE w:val="0"/>
              <w:spacing w:line="360" w:lineRule="auto"/>
              <w:ind w:firstLine="480" w:firstLineChars="200"/>
              <w:outlineLvl w:val="1"/>
              <w:rPr>
                <w:rFonts w:ascii="仿宋" w:hAnsi="仿宋" w:eastAsia="仿宋" w:cs="仿宋"/>
                <w:sz w:val="24"/>
              </w:rPr>
            </w:pPr>
            <w:r>
              <w:rPr>
                <w:rFonts w:hint="eastAsia" w:ascii="仿宋" w:hAnsi="仿宋" w:eastAsia="仿宋" w:cs="仿宋"/>
                <w:sz w:val="24"/>
                <w:lang w:bidi="ar"/>
              </w:rPr>
              <w:t>建议将附件第15条“</w:t>
            </w:r>
            <w:r>
              <w:rPr>
                <w:rFonts w:hint="eastAsia" w:ascii="仿宋" w:hAnsi="仿宋" w:eastAsia="仿宋" w:cs="仿宋"/>
                <w:b/>
                <w:sz w:val="24"/>
                <w:lang w:bidi="ar"/>
              </w:rPr>
              <w:t>公众评价</w:t>
            </w:r>
            <w:r>
              <w:rPr>
                <w:rFonts w:hint="eastAsia" w:ascii="仿宋" w:hAnsi="仿宋" w:eastAsia="仿宋" w:cs="仿宋"/>
                <w:sz w:val="24"/>
                <w:lang w:bidi="ar"/>
              </w:rPr>
              <w:t>” “</w:t>
            </w:r>
            <w:r>
              <w:rPr>
                <w:rFonts w:hint="eastAsia" w:ascii="仿宋" w:hAnsi="仿宋" w:eastAsia="仿宋" w:cs="仿宋"/>
                <w:b/>
                <w:sz w:val="24"/>
                <w:lang w:bidi="ar"/>
              </w:rPr>
              <w:t>由20分减少为10分</w:t>
            </w:r>
            <w:r>
              <w:rPr>
                <w:rFonts w:hint="eastAsia" w:ascii="仿宋" w:hAnsi="仿宋" w:eastAsia="仿宋" w:cs="仿宋"/>
                <w:sz w:val="24"/>
                <w:lang w:bidi="ar"/>
              </w:rPr>
              <w:t>”。</w:t>
            </w:r>
          </w:p>
          <w:p>
            <w:pPr>
              <w:autoSpaceDE w:val="0"/>
              <w:spacing w:line="360" w:lineRule="auto"/>
              <w:ind w:firstLine="480" w:firstLineChars="200"/>
              <w:outlineLvl w:val="1"/>
              <w:rPr>
                <w:rFonts w:ascii="仿宋" w:hAnsi="仿宋" w:eastAsia="仿宋" w:cs="仿宋"/>
                <w:kern w:val="0"/>
                <w:sz w:val="24"/>
              </w:rPr>
            </w:pPr>
            <w:r>
              <w:rPr>
                <w:rFonts w:hint="eastAsia" w:ascii="仿宋" w:hAnsi="仿宋" w:eastAsia="仿宋" w:cs="仿宋"/>
                <w:sz w:val="24"/>
                <w:lang w:bidi="ar"/>
              </w:rPr>
              <w:t>理由：一是调查问卷的参与者为市民的主观评价，跟其当时的心情、状态等诸多主观因素相关，难以体现公平公正，不应该占过大分值；二是对于行业运营企业而言，主观臆断很难客观反应企业真实经营情况，无法有效改进。</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kern w:val="0"/>
                <w:sz w:val="24"/>
              </w:rPr>
            </w:pPr>
            <w:r>
              <w:rPr>
                <w:rFonts w:hint="eastAsia" w:ascii="仿宋" w:hAnsi="仿宋" w:eastAsia="仿宋" w:cs="仿宋"/>
                <w:kern w:val="0"/>
                <w:sz w:val="24"/>
              </w:rPr>
              <w:t>解释</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rPr>
              <w:t>《考核细则》核心目的是促进企业提升运营水平和服务质量，而企业的服务对象为广大市民。因此，公众评价是直接反映了企业运营服务水平的核心指标，应给予重视并赋予指标较高权重。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autoSpaceDE w:val="0"/>
              <w:spacing w:line="360" w:lineRule="auto"/>
              <w:ind w:firstLine="480" w:firstLineChars="200"/>
              <w:outlineLvl w:val="1"/>
              <w:rPr>
                <w:rFonts w:ascii="仿宋" w:hAnsi="仿宋" w:eastAsia="仿宋" w:cs="仿宋"/>
                <w:sz w:val="24"/>
                <w:lang w:bidi="ar"/>
              </w:rPr>
            </w:pPr>
            <w:r>
              <w:rPr>
                <w:rFonts w:hint="eastAsia" w:ascii="仿宋" w:hAnsi="仿宋" w:eastAsia="仿宋" w:cs="仿宋"/>
                <w:sz w:val="24"/>
                <w:lang w:bidi="ar"/>
              </w:rPr>
              <w:t>建议在考核项中增加“</w:t>
            </w:r>
            <w:r>
              <w:rPr>
                <w:rFonts w:hint="eastAsia" w:ascii="仿宋" w:hAnsi="仿宋" w:eastAsia="仿宋" w:cs="仿宋"/>
                <w:b/>
                <w:sz w:val="24"/>
                <w:lang w:bidi="ar"/>
              </w:rPr>
              <w:t>附加分考核项</w:t>
            </w:r>
            <w:r>
              <w:rPr>
                <w:rFonts w:hint="eastAsia" w:ascii="仿宋" w:hAnsi="仿宋" w:eastAsia="仿宋" w:cs="仿宋"/>
                <w:sz w:val="24"/>
                <w:lang w:bidi="ar"/>
              </w:rPr>
              <w:t>”，具体如下：</w:t>
            </w:r>
          </w:p>
          <w:tbl>
            <w:tblPr>
              <w:tblStyle w:val="11"/>
              <w:tblpPr w:leftFromText="180" w:rightFromText="180" w:vertAnchor="text" w:horzAnchor="page" w:tblpX="225" w:tblpY="434"/>
              <w:tblOverlap w:val="never"/>
              <w:tblW w:w="6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26"/>
              <w:gridCol w:w="1996"/>
              <w:gridCol w:w="2321"/>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360" w:lineRule="auto"/>
                    <w:jc w:val="center"/>
                    <w:rPr>
                      <w:rFonts w:ascii="仿宋" w:hAnsi="仿宋" w:eastAsia="仿宋" w:cs="仿宋"/>
                      <w:sz w:val="24"/>
                    </w:rPr>
                  </w:pPr>
                  <w:r>
                    <w:rPr>
                      <w:rFonts w:hint="eastAsia" w:ascii="仿宋" w:hAnsi="仿宋" w:eastAsia="仿宋" w:cs="仿宋"/>
                      <w:sz w:val="24"/>
                      <w:lang w:bidi="ar"/>
                    </w:rPr>
                    <w:t>附加分考核项20分</w:t>
                  </w:r>
                </w:p>
              </w:tc>
              <w:tc>
                <w:tcPr>
                  <w:tcW w:w="626" w:type="dxa"/>
                  <w:vMerge w:val="restart"/>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政府表彰6分</w:t>
                  </w:r>
                </w:p>
              </w:tc>
              <w:tc>
                <w:tcPr>
                  <w:tcW w:w="1996"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获得省部级或以上荣誉称号或表彰</w:t>
                  </w:r>
                </w:p>
              </w:tc>
              <w:tc>
                <w:tcPr>
                  <w:tcW w:w="2321"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每次加1分，以最高层级积分，各种奖励累计加分综合不超过6分</w:t>
                  </w:r>
                </w:p>
              </w:tc>
              <w:tc>
                <w:tcPr>
                  <w:tcW w:w="671" w:type="dxa"/>
                  <w:vMerge w:val="restart"/>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以市、区政府认定为准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Times New Roman"/>
                      <w:szCs w:val="21"/>
                    </w:rPr>
                  </w:pPr>
                </w:p>
              </w:tc>
              <w:tc>
                <w:tcPr>
                  <w:tcW w:w="626" w:type="dxa"/>
                  <w:vMerge w:val="continue"/>
                  <w:tcBorders>
                    <w:top w:val="single" w:color="auto" w:sz="4" w:space="0"/>
                    <w:left w:val="nil"/>
                    <w:bottom w:val="single" w:color="auto" w:sz="4" w:space="0"/>
                    <w:right w:val="single" w:color="auto" w:sz="4" w:space="0"/>
                  </w:tcBorders>
                  <w:shd w:val="clear" w:color="auto" w:fill="auto"/>
                </w:tcPr>
                <w:p>
                  <w:pPr>
                    <w:rPr>
                      <w:rFonts w:ascii="Calibri" w:hAnsi="Calibri" w:cs="Times New Roman"/>
                      <w:szCs w:val="21"/>
                    </w:rPr>
                  </w:pPr>
                </w:p>
              </w:tc>
              <w:tc>
                <w:tcPr>
                  <w:tcW w:w="1996"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获得深圳级荣誉称号或表彰</w:t>
                  </w:r>
                </w:p>
              </w:tc>
              <w:tc>
                <w:tcPr>
                  <w:tcW w:w="2321"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每次加0.6分，以最高层级积分，各种奖励累计加分综合不超过6分</w:t>
                  </w:r>
                </w:p>
              </w:tc>
              <w:tc>
                <w:tcPr>
                  <w:tcW w:w="671" w:type="dxa"/>
                  <w:vMerge w:val="continue"/>
                  <w:tcBorders>
                    <w:top w:val="single" w:color="auto" w:sz="4" w:space="0"/>
                    <w:left w:val="nil"/>
                    <w:bottom w:val="single" w:color="auto" w:sz="4" w:space="0"/>
                    <w:right w:val="single" w:color="auto" w:sz="4" w:space="0"/>
                  </w:tcBorders>
                  <w:shd w:val="clear" w:color="auto" w:fill="auto"/>
                </w:tcPr>
                <w:p>
                  <w:pPr>
                    <w:rPr>
                      <w:rFonts w:ascii="Calibri" w:hAnsi="Calibri"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Times New Roman"/>
                      <w:szCs w:val="21"/>
                    </w:rPr>
                  </w:pPr>
                </w:p>
              </w:tc>
              <w:tc>
                <w:tcPr>
                  <w:tcW w:w="626" w:type="dxa"/>
                  <w:vMerge w:val="continue"/>
                  <w:tcBorders>
                    <w:top w:val="single" w:color="auto" w:sz="4" w:space="0"/>
                    <w:left w:val="nil"/>
                    <w:bottom w:val="single" w:color="auto" w:sz="4" w:space="0"/>
                    <w:right w:val="single" w:color="auto" w:sz="4" w:space="0"/>
                  </w:tcBorders>
                  <w:shd w:val="clear" w:color="auto" w:fill="auto"/>
                </w:tcPr>
                <w:p>
                  <w:pPr>
                    <w:rPr>
                      <w:rFonts w:ascii="Calibri" w:hAnsi="Calibri" w:cs="Times New Roman"/>
                      <w:szCs w:val="21"/>
                    </w:rPr>
                  </w:pPr>
                </w:p>
              </w:tc>
              <w:tc>
                <w:tcPr>
                  <w:tcW w:w="1996"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获得区级荣誉称号或表彰</w:t>
                  </w:r>
                </w:p>
              </w:tc>
              <w:tc>
                <w:tcPr>
                  <w:tcW w:w="2321"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每次加0.3分，以最高层级积分，各种奖励累计加分综合不超过6分</w:t>
                  </w:r>
                </w:p>
              </w:tc>
              <w:tc>
                <w:tcPr>
                  <w:tcW w:w="671" w:type="dxa"/>
                  <w:vMerge w:val="continue"/>
                  <w:tcBorders>
                    <w:top w:val="single" w:color="auto" w:sz="4" w:space="0"/>
                    <w:left w:val="nil"/>
                    <w:bottom w:val="single" w:color="auto" w:sz="4" w:space="0"/>
                    <w:right w:val="single" w:color="auto" w:sz="4" w:space="0"/>
                  </w:tcBorders>
                  <w:shd w:val="clear" w:color="auto" w:fill="auto"/>
                </w:tcPr>
                <w:p>
                  <w:pPr>
                    <w:rPr>
                      <w:rFonts w:ascii="Calibri" w:hAnsi="Calibri"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04"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Times New Roman"/>
                      <w:szCs w:val="21"/>
                    </w:rPr>
                  </w:pPr>
                </w:p>
              </w:tc>
              <w:tc>
                <w:tcPr>
                  <w:tcW w:w="626"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社会效益4分</w:t>
                  </w:r>
                </w:p>
              </w:tc>
              <w:tc>
                <w:tcPr>
                  <w:tcW w:w="1996"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配合政府完成工作，或积极参加抗疫、救灾、救死扶伤、优质服务、创文等具有较大社会影响的公益活动</w:t>
                  </w:r>
                </w:p>
              </w:tc>
              <w:tc>
                <w:tcPr>
                  <w:tcW w:w="2321"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每次加1分，累计不超过4分</w:t>
                  </w:r>
                </w:p>
              </w:tc>
              <w:tc>
                <w:tcPr>
                  <w:tcW w:w="671" w:type="dxa"/>
                  <w:vMerge w:val="continue"/>
                  <w:tcBorders>
                    <w:top w:val="single" w:color="auto" w:sz="4" w:space="0"/>
                    <w:left w:val="nil"/>
                    <w:bottom w:val="single" w:color="auto" w:sz="4" w:space="0"/>
                    <w:right w:val="single" w:color="auto" w:sz="4" w:space="0"/>
                  </w:tcBorders>
                  <w:shd w:val="clear" w:color="auto" w:fill="auto"/>
                </w:tcPr>
                <w:p>
                  <w:pPr>
                    <w:rPr>
                      <w:rFonts w:ascii="Calibri" w:hAnsi="Calibri"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604"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Times New Roman"/>
                      <w:szCs w:val="21"/>
                    </w:rPr>
                  </w:pPr>
                </w:p>
              </w:tc>
              <w:tc>
                <w:tcPr>
                  <w:tcW w:w="626"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科技创新4分</w:t>
                  </w:r>
                </w:p>
              </w:tc>
              <w:tc>
                <w:tcPr>
                  <w:tcW w:w="1996"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研发创新技术，实现互联网租赁自行车行业技术应用发展，解决行业发展问题，取得较大社会效益，并报行业主管部门认定。</w:t>
                  </w:r>
                </w:p>
              </w:tc>
              <w:tc>
                <w:tcPr>
                  <w:tcW w:w="2321"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经行业主管部门认定为准，国家级加2分，省部级1分，深圳市级0.5分，以最高级计分，累计加分不超过4分</w:t>
                  </w:r>
                </w:p>
              </w:tc>
              <w:tc>
                <w:tcPr>
                  <w:tcW w:w="671" w:type="dxa"/>
                  <w:vMerge w:val="continue"/>
                  <w:tcBorders>
                    <w:top w:val="single" w:color="auto" w:sz="4" w:space="0"/>
                    <w:left w:val="nil"/>
                    <w:bottom w:val="single" w:color="auto" w:sz="4" w:space="0"/>
                    <w:right w:val="single" w:color="auto" w:sz="4" w:space="0"/>
                  </w:tcBorders>
                  <w:shd w:val="clear" w:color="auto" w:fill="auto"/>
                </w:tcPr>
                <w:p>
                  <w:pPr>
                    <w:rPr>
                      <w:rFonts w:ascii="Calibri" w:hAnsi="Calibri"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604"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cs="Times New Roman"/>
                      <w:szCs w:val="21"/>
                    </w:rPr>
                  </w:pPr>
                </w:p>
              </w:tc>
              <w:tc>
                <w:tcPr>
                  <w:tcW w:w="626"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产业落地6分</w:t>
                  </w:r>
                </w:p>
              </w:tc>
              <w:tc>
                <w:tcPr>
                  <w:tcW w:w="1996"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增加互联网租赁自行车的企业经营税和企业所得税（相关完税证明）</w:t>
                  </w:r>
                </w:p>
              </w:tc>
              <w:tc>
                <w:tcPr>
                  <w:tcW w:w="2321" w:type="dxa"/>
                  <w:tcBorders>
                    <w:top w:val="single" w:color="auto" w:sz="4" w:space="0"/>
                    <w:left w:val="nil"/>
                    <w:bottom w:val="single" w:color="auto" w:sz="4" w:space="0"/>
                    <w:right w:val="single" w:color="auto" w:sz="4" w:space="0"/>
                  </w:tcBorders>
                  <w:shd w:val="clear" w:color="auto" w:fill="auto"/>
                </w:tcPr>
                <w:p>
                  <w:pPr>
                    <w:autoSpaceDE w:val="0"/>
                    <w:spacing w:line="360" w:lineRule="auto"/>
                    <w:rPr>
                      <w:rFonts w:ascii="仿宋" w:hAnsi="仿宋" w:eastAsia="仿宋" w:cs="仿宋"/>
                      <w:sz w:val="24"/>
                    </w:rPr>
                  </w:pPr>
                  <w:r>
                    <w:rPr>
                      <w:rFonts w:hint="eastAsia" w:ascii="仿宋" w:hAnsi="仿宋" w:eastAsia="仿宋" w:cs="仿宋"/>
                      <w:sz w:val="24"/>
                      <w:lang w:bidi="ar"/>
                    </w:rPr>
                    <w:t>新增互联网租赁自行车的企业经营税和企业所得税，得6分</w:t>
                  </w:r>
                </w:p>
              </w:tc>
              <w:tc>
                <w:tcPr>
                  <w:tcW w:w="671" w:type="dxa"/>
                  <w:vMerge w:val="continue"/>
                  <w:tcBorders>
                    <w:top w:val="single" w:color="auto" w:sz="4" w:space="0"/>
                    <w:left w:val="nil"/>
                    <w:bottom w:val="single" w:color="auto" w:sz="4" w:space="0"/>
                    <w:right w:val="single" w:color="auto" w:sz="4" w:space="0"/>
                  </w:tcBorders>
                  <w:shd w:val="clear" w:color="auto" w:fill="auto"/>
                </w:tcPr>
                <w:p>
                  <w:pPr>
                    <w:rPr>
                      <w:rFonts w:ascii="Calibri" w:hAnsi="Calibri" w:cs="Times New Roman"/>
                      <w:szCs w:val="21"/>
                    </w:rPr>
                  </w:pPr>
                </w:p>
              </w:tc>
            </w:tr>
          </w:tbl>
          <w:p>
            <w:pPr>
              <w:autoSpaceDE w:val="0"/>
              <w:spacing w:line="360" w:lineRule="auto"/>
              <w:ind w:firstLine="480" w:firstLineChars="200"/>
              <w:outlineLvl w:val="1"/>
              <w:rPr>
                <w:rFonts w:ascii="仿宋" w:hAnsi="仿宋" w:eastAsia="仿宋" w:cs="仿宋"/>
                <w:sz w:val="24"/>
                <w:lang w:bidi="ar"/>
              </w:rPr>
            </w:pPr>
          </w:p>
          <w:p>
            <w:pPr>
              <w:autoSpaceDE w:val="0"/>
              <w:spacing w:line="360" w:lineRule="auto"/>
              <w:ind w:firstLine="480" w:firstLineChars="200"/>
              <w:outlineLvl w:val="1"/>
              <w:rPr>
                <w:rFonts w:ascii="仿宋" w:hAnsi="仿宋" w:eastAsia="仿宋" w:cs="仿宋"/>
                <w:sz w:val="24"/>
              </w:rPr>
            </w:pPr>
            <w:r>
              <w:rPr>
                <w:rFonts w:hint="eastAsia" w:ascii="仿宋" w:hAnsi="仿宋" w:eastAsia="仿宋" w:cs="仿宋"/>
                <w:sz w:val="24"/>
                <w:lang w:bidi="ar"/>
              </w:rPr>
              <w:t>理由：企业为深圳或行业做出重大贡献，应于适当的鼓励；并且此项考核指标有利于推动运营企业为深圳或行业做出贡献。</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kern w:val="0"/>
                <w:sz w:val="24"/>
              </w:rPr>
            </w:pPr>
            <w:r>
              <w:rPr>
                <w:rFonts w:hint="eastAsia" w:ascii="仿宋" w:hAnsi="仿宋" w:eastAsia="仿宋" w:cs="仿宋"/>
                <w:kern w:val="0"/>
                <w:sz w:val="24"/>
              </w:rPr>
              <w:t>解释</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rPr>
              <w:t>结合近三年设置的“附加项”考核指标实施情况，企业得分基本为满分，对促进企业间服务竞争作用有限。本次《考核细则》对指标体系进行了精减优化，重点围绕企业秩序管理及服务提升设置考核指标。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restart"/>
            <w:tcBorders>
              <w:top w:val="nil"/>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lang w:bidi="ar"/>
              </w:rPr>
              <w:t>广州骑安科技有限公司</w:t>
            </w:r>
          </w:p>
        </w:tc>
        <w:tc>
          <w:tcPr>
            <w:tcW w:w="6212" w:type="dxa"/>
            <w:tcBorders>
              <w:top w:val="single" w:color="auto" w:sz="4" w:space="0"/>
              <w:left w:val="nil"/>
              <w:bottom w:val="single" w:color="auto" w:sz="4" w:space="0"/>
              <w:right w:val="single" w:color="auto" w:sz="4" w:space="0"/>
            </w:tcBorders>
            <w:shd w:val="clear" w:color="auto" w:fill="auto"/>
            <w:vAlign w:val="center"/>
          </w:tcPr>
          <w:p>
            <w:pPr>
              <w:autoSpaceDE w:val="0"/>
              <w:spacing w:line="360" w:lineRule="auto"/>
              <w:ind w:firstLine="480" w:firstLineChars="200"/>
              <w:rPr>
                <w:rFonts w:ascii="仿宋" w:hAnsi="仿宋" w:eastAsia="仿宋" w:cs="仿宋"/>
                <w:sz w:val="24"/>
              </w:rPr>
            </w:pPr>
            <w:r>
              <w:rPr>
                <w:rFonts w:hint="eastAsia" w:ascii="仿宋" w:hAnsi="仿宋" w:eastAsia="仿宋" w:cs="仿宋"/>
                <w:sz w:val="24"/>
                <w:lang w:bidi="ar"/>
              </w:rPr>
              <w:t>考核细则指标类别中运营服务部分车辆周转率及车辆活跃度，两个指标项分值存在不合理性。主要原因基于目前深圳市互联网租赁自行车共有三家企业，车辆配额分别是26.2W、10W、5.9W，配额最多的单车企业以超过60%以上的份额占有绝对优势。路面单车的数量跟车辆周转率及车辆活跃率两项分值正相关，这也就意味着配额高的企业具有先天性优势。另外，三家单车企业的运营区存在差异，美团是全市运营，哈罗是仅限福田、宝安、罗湖、龙华、光明运营，青桔是仅限福田、南山、龙岗、坪山运营，由于深圳很多用户是跨区通勤，因此跨区流转问题，会直接影响用户骑行品牌的选择，车辆周转率、车辆活跃率也因此受到限制，此项分数同样具有先天性差异。</w:t>
            </w:r>
          </w:p>
          <w:p>
            <w:pPr>
              <w:autoSpaceDE w:val="0"/>
              <w:spacing w:line="360" w:lineRule="auto"/>
              <w:ind w:firstLine="480" w:firstLineChars="200"/>
              <w:rPr>
                <w:rFonts w:ascii="仿宋" w:hAnsi="仿宋" w:eastAsia="仿宋" w:cs="仿宋"/>
                <w:kern w:val="0"/>
                <w:sz w:val="24"/>
              </w:rPr>
            </w:pPr>
            <w:r>
              <w:rPr>
                <w:rFonts w:hint="eastAsia" w:ascii="仿宋" w:hAnsi="仿宋" w:eastAsia="仿宋" w:cs="仿宋"/>
                <w:sz w:val="24"/>
                <w:lang w:bidi="ar"/>
              </w:rPr>
              <w:t>基于以上原因建议取消或降低运营服务中车辆周转率和车辆活跃率两项指标项得分得，合计分值不超过5分。</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rPr>
            </w:pPr>
            <w:r>
              <w:rPr>
                <w:rFonts w:hint="eastAsia" w:ascii="仿宋" w:hAnsi="仿宋" w:eastAsia="仿宋" w:cs="仿宋"/>
                <w:kern w:val="0"/>
                <w:sz w:val="24"/>
              </w:rPr>
              <w:t>解释</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kern w:val="0"/>
                <w:sz w:val="24"/>
              </w:rPr>
            </w:pPr>
            <w:r>
              <w:rPr>
                <w:rFonts w:hint="eastAsia" w:ascii="仿宋" w:hAnsi="仿宋" w:eastAsia="仿宋" w:cs="仿宋"/>
                <w:sz w:val="24"/>
                <w:lang w:bidi="ar"/>
              </w:rPr>
              <w:t>同第2条建议说明。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autoSpaceDE w:val="0"/>
              <w:spacing w:line="360" w:lineRule="auto"/>
              <w:ind w:firstLine="640"/>
              <w:rPr>
                <w:rFonts w:ascii="仿宋" w:hAnsi="仿宋" w:eastAsia="仿宋" w:cs="仿宋"/>
                <w:kern w:val="0"/>
                <w:sz w:val="24"/>
              </w:rPr>
            </w:pPr>
            <w:r>
              <w:rPr>
                <w:rFonts w:hint="eastAsia" w:ascii="仿宋" w:hAnsi="仿宋" w:eastAsia="仿宋" w:cs="仿宋"/>
                <w:sz w:val="24"/>
                <w:lang w:bidi="ar"/>
              </w:rPr>
              <w:t>建议增加运营管理部分的减分项，如车辆秩序管理中，增设车辆积压减分项，包括但不限于单一品牌出现20辆及以上无序摆放、头尾交叉、车辆堆叠、违规占压车道等现象，可视情况给予扣2-1分。</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rPr>
            </w:pPr>
            <w:r>
              <w:rPr>
                <w:rFonts w:hint="eastAsia" w:ascii="仿宋" w:hAnsi="仿宋" w:eastAsia="仿宋" w:cs="仿宋"/>
                <w:kern w:val="0"/>
                <w:sz w:val="24"/>
              </w:rPr>
              <w:t>部分采纳</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rPr>
              <w:t>《考核细则》指标体系中，针对车辆停放秩序管理设置了“热点区域车辆管理、车辆日常秩序管理、定点停放管理”三项指标，已包含建议提出的考核内容。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autoSpaceDE w:val="0"/>
              <w:spacing w:line="360" w:lineRule="auto"/>
              <w:ind w:firstLine="640"/>
              <w:rPr>
                <w:rFonts w:ascii="仿宋" w:hAnsi="仿宋" w:eastAsia="仿宋" w:cs="仿宋"/>
                <w:kern w:val="0"/>
                <w:sz w:val="24"/>
              </w:rPr>
            </w:pPr>
            <w:r>
              <w:rPr>
                <w:rFonts w:hint="eastAsia" w:ascii="仿宋" w:hAnsi="仿宋" w:eastAsia="仿宋" w:cs="仿宋"/>
                <w:sz w:val="24"/>
                <w:lang w:bidi="ar"/>
              </w:rPr>
              <w:t xml:space="preserve">第4项车辆整洁度，共享单车车身小广告一直是市民关注的焦点，车身“牛皮癣”对市容市貌造成了巨大的不良影响。建议加大“车身整洁情况”的考核力度，督促企业做好运营巡查管理。 </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rPr>
            </w:pPr>
            <w:r>
              <w:rPr>
                <w:rFonts w:hint="eastAsia" w:ascii="仿宋" w:hAnsi="仿宋" w:eastAsia="仿宋" w:cs="仿宋"/>
                <w:bCs/>
                <w:kern w:val="0"/>
                <w:sz w:val="24"/>
              </w:rPr>
              <w:t>采纳</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sz w:val="24"/>
                <w:lang w:bidi="ar"/>
              </w:rPr>
              <w:t>车身“牛皮癣”严重影响市容环境，</w:t>
            </w:r>
            <w:r>
              <w:rPr>
                <w:rFonts w:hint="eastAsia" w:ascii="仿宋" w:hAnsi="仿宋" w:eastAsia="仿宋" w:cs="仿宋"/>
                <w:kern w:val="0"/>
                <w:sz w:val="24"/>
              </w:rPr>
              <w:t>企业可通过技术手段和加强车辆清理，提升车身整洁度，因此设置“</w:t>
            </w:r>
            <w:r>
              <w:rPr>
                <w:rFonts w:hint="eastAsia" w:ascii="仿宋" w:hAnsi="仿宋" w:eastAsia="仿宋" w:cs="仿宋"/>
                <w:sz w:val="24"/>
                <w:lang w:bidi="ar"/>
              </w:rPr>
              <w:t>车身整洁度</w:t>
            </w:r>
            <w:r>
              <w:rPr>
                <w:rFonts w:hint="eastAsia" w:ascii="仿宋" w:hAnsi="仿宋" w:eastAsia="仿宋" w:cs="仿宋"/>
                <w:kern w:val="0"/>
                <w:sz w:val="24"/>
              </w:rPr>
              <w:t>”考核指标。同时，在“公众满意度”指标中也设置有市民对车辆整洁程度的满意度评价项。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ind w:firstLine="480" w:firstLineChars="200"/>
              <w:rPr>
                <w:rFonts w:ascii="仿宋" w:hAnsi="仿宋" w:eastAsia="仿宋" w:cs="仿宋"/>
                <w:kern w:val="0"/>
                <w:sz w:val="24"/>
              </w:rPr>
            </w:pPr>
            <w:r>
              <w:rPr>
                <w:rFonts w:hint="eastAsia" w:ascii="仿宋" w:hAnsi="仿宋" w:eastAsia="仿宋" w:cs="仿宋"/>
                <w:sz w:val="24"/>
                <w:lang w:bidi="ar"/>
              </w:rPr>
              <w:t>第12项车辆投放管理，建议在考核指标体系中明确“一般处罚”、“较重处罚”、“严重处罚”的判断依据。</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rPr>
            </w:pPr>
            <w:r>
              <w:rPr>
                <w:rFonts w:hint="eastAsia" w:ascii="仿宋" w:hAnsi="仿宋" w:eastAsia="仿宋" w:cs="仿宋"/>
                <w:bCs/>
                <w:kern w:val="0"/>
                <w:sz w:val="24"/>
              </w:rPr>
              <w:t>采纳</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kern w:val="0"/>
                <w:sz w:val="24"/>
              </w:rPr>
            </w:pPr>
            <w:r>
              <w:rPr>
                <w:rFonts w:hint="eastAsia" w:ascii="仿宋" w:hAnsi="仿宋" w:eastAsia="仿宋" w:cs="仿宋"/>
                <w:kern w:val="0"/>
                <w:sz w:val="24"/>
              </w:rPr>
              <w:t>同第6条建议</w:t>
            </w:r>
            <w:r>
              <w:rPr>
                <w:rFonts w:hint="eastAsia" w:ascii="仿宋" w:hAnsi="仿宋" w:eastAsia="仿宋" w:cs="仿宋"/>
                <w:sz w:val="24"/>
                <w:lang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autoSpaceDE w:val="0"/>
              <w:spacing w:line="360" w:lineRule="auto"/>
              <w:ind w:firstLine="640"/>
              <w:rPr>
                <w:rFonts w:ascii="仿宋" w:hAnsi="仿宋" w:eastAsia="仿宋" w:cs="仿宋"/>
                <w:kern w:val="0"/>
                <w:sz w:val="24"/>
              </w:rPr>
            </w:pPr>
            <w:r>
              <w:rPr>
                <w:rFonts w:hint="eastAsia" w:ascii="仿宋" w:hAnsi="仿宋" w:eastAsia="仿宋" w:cs="仿宋"/>
                <w:sz w:val="24"/>
                <w:lang w:bidi="ar"/>
              </w:rPr>
              <w:t>考核结果应用中，关于对企业投放数额的动态调节方式，建议按分数段扣增减相应不同比例投放量，扣减量奖励到考核优秀且第一名的企业，以公平竞争的方式促进企业间良性竞争。另外，深圳市可承载互联网租赁自行车数量为45万，当前仅利用42万，剩余3万建议可以通过考核等公平竞争的方式奖励到考核优秀且第一名的企业。</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rPr>
            </w:pPr>
            <w:r>
              <w:rPr>
                <w:rFonts w:hint="eastAsia" w:ascii="仿宋" w:hAnsi="仿宋" w:eastAsia="仿宋" w:cs="仿宋"/>
                <w:bCs/>
                <w:kern w:val="0"/>
                <w:sz w:val="24"/>
              </w:rPr>
              <w:t>解释</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rPr>
              <w:t>根据《中华人民共和国反垄断法》相关规定，以及咨询反垄断执法机构相关意见，将调减后的空额直接面向现有经营者奖励，均存在排除、限制竞争的违法嫌疑。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restart"/>
            <w:tcBorders>
              <w:top w:val="nil"/>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lang w:bidi="ar"/>
              </w:rPr>
              <w:t>其他</w:t>
            </w:r>
          </w:p>
        </w:tc>
        <w:tc>
          <w:tcPr>
            <w:tcW w:w="6212"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lang w:bidi="ar"/>
              </w:rPr>
              <w:t xml:space="preserve">一、对《深圳市互联网租赁自行车企业运营服务考核细则》的意见如下： </w:t>
            </w:r>
          </w:p>
          <w:p>
            <w:pPr>
              <w:widowControl/>
              <w:autoSpaceDE w:val="0"/>
              <w:spacing w:line="360" w:lineRule="auto"/>
              <w:rPr>
                <w:rFonts w:ascii="仿宋" w:hAnsi="仿宋" w:eastAsia="仿宋" w:cs="仿宋"/>
                <w:kern w:val="0"/>
                <w:sz w:val="24"/>
              </w:rPr>
            </w:pPr>
            <w:r>
              <w:rPr>
                <w:rFonts w:hint="eastAsia" w:ascii="仿宋" w:hAnsi="仿宋" w:eastAsia="仿宋" w:cs="仿宋"/>
                <w:kern w:val="0"/>
                <w:sz w:val="24"/>
                <w:lang w:bidi="ar"/>
              </w:rPr>
              <w:t xml:space="preserve">（一）第五条（考核周期）“考核季度次月底前完成对上季度的考核。” </w:t>
            </w:r>
          </w:p>
          <w:p>
            <w:pPr>
              <w:widowControl/>
              <w:autoSpaceDE w:val="0"/>
              <w:spacing w:line="360" w:lineRule="auto"/>
              <w:ind w:firstLine="481" w:firstLineChars="200"/>
              <w:rPr>
                <w:rFonts w:ascii="仿宋" w:hAnsi="仿宋" w:eastAsia="仿宋" w:cs="仿宋"/>
                <w:kern w:val="0"/>
                <w:sz w:val="24"/>
              </w:rPr>
            </w:pPr>
            <w:r>
              <w:rPr>
                <w:rFonts w:hint="eastAsia" w:ascii="仿宋" w:hAnsi="仿宋" w:eastAsia="仿宋" w:cs="仿宋"/>
                <w:b/>
                <w:kern w:val="0"/>
                <w:sz w:val="24"/>
                <w:lang w:bidi="ar"/>
              </w:rPr>
              <w:t>意见：时效性完成事项不明确，只表明月底完成上季度考核，是否包括考核的公示发布不明确。</w:t>
            </w:r>
            <w:r>
              <w:rPr>
                <w:rFonts w:hint="eastAsia" w:ascii="仿宋" w:hAnsi="仿宋" w:eastAsia="仿宋" w:cs="仿宋"/>
                <w:kern w:val="0"/>
                <w:sz w:val="24"/>
                <w:lang w:bidi="ar"/>
              </w:rPr>
              <w:t> </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rPr>
            </w:pPr>
            <w:r>
              <w:rPr>
                <w:rFonts w:hint="eastAsia" w:ascii="仿宋" w:hAnsi="仿宋" w:eastAsia="仿宋" w:cs="仿宋"/>
                <w:bCs/>
                <w:kern w:val="0"/>
                <w:sz w:val="24"/>
              </w:rPr>
              <w:t>解释</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lang w:bidi="ar"/>
              </w:rPr>
              <w:t>完成考核工作内容包括开展考核评分、形成初步考核结果、征询企业意见、审定考核结果以及公示考核结果等程序。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b/>
                <w:kern w:val="0"/>
                <w:sz w:val="24"/>
              </w:rPr>
            </w:pPr>
            <w:r>
              <w:rPr>
                <w:rFonts w:hint="eastAsia" w:ascii="仿宋" w:hAnsi="仿宋" w:eastAsia="仿宋" w:cs="仿宋"/>
                <w:kern w:val="0"/>
                <w:sz w:val="24"/>
                <w:lang w:bidi="ar"/>
              </w:rPr>
              <w:t>（二）第七条（结果应用）“调节方式”</w:t>
            </w:r>
            <w:r>
              <w:rPr>
                <w:rFonts w:hint="eastAsia" w:ascii="仿宋" w:hAnsi="仿宋" w:eastAsia="仿宋" w:cs="仿宋"/>
                <w:b/>
                <w:kern w:val="0"/>
                <w:sz w:val="24"/>
                <w:lang w:bidi="ar"/>
              </w:rPr>
              <w:t> </w:t>
            </w:r>
          </w:p>
          <w:p>
            <w:pPr>
              <w:widowControl/>
              <w:autoSpaceDE w:val="0"/>
              <w:spacing w:line="360" w:lineRule="auto"/>
              <w:ind w:firstLine="481" w:firstLineChars="200"/>
              <w:rPr>
                <w:rFonts w:ascii="仿宋" w:hAnsi="仿宋" w:eastAsia="仿宋" w:cs="仿宋"/>
                <w:b/>
                <w:kern w:val="0"/>
                <w:sz w:val="24"/>
              </w:rPr>
            </w:pPr>
            <w:r>
              <w:rPr>
                <w:rFonts w:hint="eastAsia" w:ascii="仿宋" w:hAnsi="仿宋" w:eastAsia="仿宋" w:cs="仿宋"/>
                <w:b/>
                <w:kern w:val="0"/>
                <w:sz w:val="24"/>
                <w:lang w:bidi="ar"/>
              </w:rPr>
              <w:t>意见：调节方式应用不明确，只规定了调节的数量，未规定调节起效的时效。如果企业一年不调整呢？</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rPr>
            </w:pPr>
            <w:r>
              <w:rPr>
                <w:rFonts w:hint="eastAsia" w:ascii="仿宋" w:hAnsi="仿宋" w:eastAsia="仿宋" w:cs="仿宋"/>
                <w:kern w:val="0"/>
                <w:sz w:val="24"/>
                <w:lang w:bidi="ar"/>
              </w:rPr>
              <w:t>解释</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rPr>
              <w:t>《考核细则》仅须明确各企业考核调节车辆规模要求，针对企业车辆收回具体期限，已由市交通运输管理部门另行规定。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lang w:bidi="ar"/>
              </w:rPr>
              <w:t xml:space="preserve">二、对《深圳市互联网租赁自行车企业运营服务考核指标体系》的意见如下： </w:t>
            </w:r>
          </w:p>
          <w:p>
            <w:pPr>
              <w:widowControl/>
              <w:autoSpaceDE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lang w:bidi="ar"/>
              </w:rPr>
              <w:t xml:space="preserve">考核体系考虑不全面，《经营服务管理办法》的重要规定和要求内容没有纳入考核体系： </w:t>
            </w:r>
          </w:p>
          <w:p>
            <w:pPr>
              <w:widowControl/>
              <w:autoSpaceDE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lang w:bidi="ar"/>
              </w:rPr>
              <w:t xml:space="preserve">（一）《经营服务管理办法》中：“第十条【车辆条件】（三）具有唯一的身份编码”和“第十三条【信息备案】“按照一车一码的要求”的要求，未在体系中体现。 </w:t>
            </w:r>
          </w:p>
          <w:p>
            <w:pPr>
              <w:widowControl/>
              <w:autoSpaceDE w:val="0"/>
              <w:spacing w:line="360" w:lineRule="auto"/>
              <w:ind w:firstLine="481" w:firstLineChars="200"/>
              <w:rPr>
                <w:rFonts w:ascii="仿宋" w:hAnsi="仿宋" w:eastAsia="仿宋" w:cs="仿宋"/>
                <w:b/>
                <w:kern w:val="0"/>
                <w:sz w:val="24"/>
              </w:rPr>
            </w:pPr>
            <w:r>
              <w:rPr>
                <w:rFonts w:hint="eastAsia" w:ascii="仿宋" w:hAnsi="仿宋" w:eastAsia="仿宋" w:cs="仿宋"/>
                <w:b/>
                <w:kern w:val="0"/>
                <w:sz w:val="24"/>
                <w:lang w:bidi="ar"/>
              </w:rPr>
              <w:t xml:space="preserve">意见：在考核体系中，增加对车辆“一车一码”的要求，特别是深圳第一次招投标投放，初次规范尤为重要。 </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rPr>
            </w:pPr>
            <w:r>
              <w:rPr>
                <w:rFonts w:hint="eastAsia" w:ascii="仿宋" w:hAnsi="仿宋" w:eastAsia="仿宋" w:cs="仿宋"/>
                <w:kern w:val="0"/>
                <w:sz w:val="24"/>
                <w:lang w:bidi="ar"/>
              </w:rPr>
              <w:t>解释</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lang w:bidi="ar"/>
              </w:rPr>
              <w:t>车辆投放前，未按车辆“一车一码”的要求，将车辆编码向市交通运输部门备案的，属于严重违法行为，将按照违规投放进行处置。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lang w:bidi="ar"/>
              </w:rPr>
              <w:t xml:space="preserve">（二）《经营服务管理办法》中：“第十六条【车辆调度】，基准比例为经营者取得的投放数额占全市投放数额的比例。”要求，未在考核体系中体现。 </w:t>
            </w:r>
          </w:p>
          <w:p>
            <w:pPr>
              <w:widowControl/>
              <w:autoSpaceDE w:val="0"/>
              <w:spacing w:line="360" w:lineRule="auto"/>
              <w:ind w:firstLine="481" w:firstLineChars="200"/>
              <w:rPr>
                <w:rFonts w:ascii="仿宋" w:hAnsi="仿宋" w:eastAsia="仿宋" w:cs="仿宋"/>
                <w:b/>
                <w:kern w:val="0"/>
                <w:sz w:val="24"/>
              </w:rPr>
            </w:pPr>
            <w:r>
              <w:rPr>
                <w:rFonts w:hint="eastAsia" w:ascii="仿宋" w:hAnsi="仿宋" w:eastAsia="仿宋" w:cs="仿宋"/>
                <w:b/>
                <w:kern w:val="0"/>
                <w:sz w:val="24"/>
                <w:lang w:bidi="ar"/>
              </w:rPr>
              <w:t xml:space="preserve">意见：招投标以后，抢占热点区域肯定是各企业的重点，考核体系中应该增加对“超过投放基准时效性”的考核要求，发现区域超量且企业未按比率投放，要求整改后还继续持续维持违规比率的，应该纳入考核。 </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highlight w:val="yellow"/>
              </w:rPr>
            </w:pPr>
            <w:r>
              <w:rPr>
                <w:rFonts w:hint="eastAsia" w:ascii="仿宋" w:hAnsi="仿宋" w:eastAsia="仿宋" w:cs="仿宋"/>
                <w:kern w:val="0"/>
                <w:sz w:val="24"/>
                <w:lang w:bidi="ar"/>
              </w:rPr>
              <w:t>部分采纳</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highlight w:val="yellow"/>
              </w:rPr>
            </w:pPr>
            <w:r>
              <w:rPr>
                <w:rFonts w:hint="eastAsia" w:ascii="仿宋" w:hAnsi="仿宋" w:eastAsia="仿宋" w:cs="仿宋"/>
                <w:kern w:val="0"/>
                <w:sz w:val="24"/>
                <w:lang w:bidi="ar"/>
              </w:rPr>
              <w:t>《管理办法》暂未印发施行，后续根据管理要求变化，适时调整考核指标体系。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b/>
                <w:kern w:val="0"/>
                <w:sz w:val="24"/>
              </w:rPr>
            </w:pPr>
            <w:r>
              <w:rPr>
                <w:rFonts w:hint="eastAsia" w:ascii="仿宋" w:hAnsi="仿宋" w:eastAsia="仿宋" w:cs="仿宋"/>
                <w:kern w:val="0"/>
                <w:sz w:val="24"/>
                <w:lang w:bidi="ar"/>
              </w:rPr>
              <w:t>（三）考核体系中的“数据接入”考核不够全面只有数据接入故障处理及时性和车辆在线率的考核。</w:t>
            </w:r>
            <w:r>
              <w:rPr>
                <w:rFonts w:hint="eastAsia" w:ascii="仿宋" w:hAnsi="仿宋" w:eastAsia="仿宋" w:cs="仿宋"/>
                <w:b/>
                <w:kern w:val="0"/>
                <w:sz w:val="24"/>
                <w:lang w:bidi="ar"/>
              </w:rPr>
              <w:t> </w:t>
            </w:r>
          </w:p>
          <w:p>
            <w:pPr>
              <w:widowControl/>
              <w:autoSpaceDE w:val="0"/>
              <w:spacing w:line="360" w:lineRule="auto"/>
              <w:ind w:firstLine="481" w:firstLineChars="200"/>
              <w:rPr>
                <w:rFonts w:ascii="仿宋" w:hAnsi="仿宋" w:eastAsia="仿宋" w:cs="仿宋"/>
                <w:b/>
                <w:kern w:val="0"/>
                <w:sz w:val="24"/>
              </w:rPr>
            </w:pPr>
            <w:r>
              <w:rPr>
                <w:rFonts w:hint="eastAsia" w:ascii="仿宋" w:hAnsi="仿宋" w:eastAsia="仿宋" w:cs="仿宋"/>
                <w:b/>
                <w:kern w:val="0"/>
                <w:sz w:val="24"/>
                <w:lang w:bidi="ar"/>
              </w:rPr>
              <w:t xml:space="preserve">意见：建议增加对数据上传完整性和准确性的考核，如采用人工或技术方式核查到车辆轨迹数据未上传的，通过技术手段发现经营者进行了数据漂移的。 </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highlight w:val="yellow"/>
              </w:rPr>
            </w:pPr>
            <w:r>
              <w:rPr>
                <w:rFonts w:hint="eastAsia" w:ascii="仿宋" w:hAnsi="仿宋" w:eastAsia="仿宋" w:cs="仿宋"/>
                <w:kern w:val="0"/>
                <w:sz w:val="24"/>
                <w:lang w:bidi="ar"/>
              </w:rPr>
              <w:t>部分采纳</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lang w:bidi="ar"/>
              </w:rPr>
            </w:pPr>
            <w:r>
              <w:rPr>
                <w:rFonts w:hint="eastAsia" w:ascii="仿宋" w:hAnsi="仿宋" w:eastAsia="仿宋" w:cs="仿宋"/>
                <w:kern w:val="0"/>
                <w:sz w:val="24"/>
                <w:lang w:bidi="ar"/>
              </w:rPr>
              <w:t>企业上传数据不完整或不准确视为未按规定将数据接入政府监管平台，“数据接入”考核指标已包含上述考核内容。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b/>
                <w:kern w:val="0"/>
                <w:sz w:val="24"/>
              </w:rPr>
            </w:pPr>
            <w:r>
              <w:rPr>
                <w:rFonts w:hint="eastAsia" w:ascii="仿宋" w:hAnsi="仿宋" w:eastAsia="仿宋" w:cs="仿宋"/>
                <w:kern w:val="0"/>
                <w:sz w:val="24"/>
                <w:lang w:bidi="ar"/>
              </w:rPr>
              <w:t>（四）《经营服务管理办法》中“【未按规定传输数据的责任】”和“【向未满 12 周岁未成年人提供服务的责任】”的处罚未纳入到考核体系。</w:t>
            </w:r>
            <w:r>
              <w:rPr>
                <w:rFonts w:hint="eastAsia" w:ascii="仿宋" w:hAnsi="仿宋" w:eastAsia="仿宋" w:cs="仿宋"/>
                <w:b/>
                <w:kern w:val="0"/>
                <w:sz w:val="24"/>
                <w:lang w:bidi="ar"/>
              </w:rPr>
              <w:t> </w:t>
            </w:r>
          </w:p>
          <w:p>
            <w:pPr>
              <w:widowControl/>
              <w:autoSpaceDE w:val="0"/>
              <w:spacing w:line="360" w:lineRule="auto"/>
              <w:ind w:firstLine="481" w:firstLineChars="200"/>
              <w:rPr>
                <w:rFonts w:ascii="仿宋" w:hAnsi="仿宋" w:eastAsia="仿宋" w:cs="仿宋"/>
                <w:b/>
                <w:kern w:val="0"/>
                <w:sz w:val="24"/>
              </w:rPr>
            </w:pPr>
            <w:r>
              <w:rPr>
                <w:rFonts w:hint="eastAsia" w:ascii="仿宋" w:hAnsi="仿宋" w:eastAsia="仿宋" w:cs="仿宋"/>
                <w:b/>
                <w:kern w:val="0"/>
                <w:sz w:val="24"/>
                <w:lang w:bidi="ar"/>
              </w:rPr>
              <w:t>意见：被交通执法处罚的应纳入考核体系扣分。</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rPr>
            </w:pPr>
            <w:r>
              <w:rPr>
                <w:rFonts w:hint="eastAsia" w:ascii="仿宋" w:hAnsi="仿宋" w:eastAsia="仿宋" w:cs="仿宋"/>
                <w:kern w:val="0"/>
                <w:sz w:val="24"/>
                <w:lang w:bidi="ar"/>
              </w:rPr>
              <w:t>解释</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rPr>
              <w:t>本次《考核细则》重点围绕企业秩序管理及服务提升设置考核指标。企业向未满 12 周岁未成年人提供注册服务的，相关部门可依据《管理办法》相关规定予以处罚。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autoSpaceDE w:val="0"/>
              <w:spacing w:line="360" w:lineRule="auto"/>
              <w:rPr>
                <w:rFonts w:ascii="仿宋" w:hAnsi="仿宋" w:eastAsia="仿宋" w:cs="仿宋"/>
                <w:kern w:val="0"/>
                <w:sz w:val="24"/>
              </w:rPr>
            </w:pPr>
          </w:p>
        </w:tc>
        <w:tc>
          <w:tcPr>
            <w:tcW w:w="1067" w:type="dxa"/>
            <w:vMerge w:val="continue"/>
            <w:tcBorders>
              <w:top w:val="nil"/>
              <w:left w:val="nil"/>
              <w:bottom w:val="single" w:color="auto" w:sz="4" w:space="0"/>
              <w:right w:val="single" w:color="auto" w:sz="4" w:space="0"/>
            </w:tcBorders>
            <w:shd w:val="clear" w:color="auto" w:fill="auto"/>
            <w:vAlign w:val="center"/>
          </w:tcPr>
          <w:p>
            <w:pPr>
              <w:rPr>
                <w:rFonts w:ascii="Calibri" w:hAnsi="Calibri" w:cs="Times New Roman"/>
                <w:szCs w:val="21"/>
              </w:rPr>
            </w:pPr>
          </w:p>
        </w:tc>
        <w:tc>
          <w:tcPr>
            <w:tcW w:w="6212"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lang w:bidi="ar"/>
              </w:rPr>
              <w:t xml:space="preserve">（五）委托第三方机构考核为 35 分，占考核总分数的35%，是考核机构最高分值，无法达到公平合理全面。 </w:t>
            </w:r>
          </w:p>
          <w:p>
            <w:pPr>
              <w:widowControl/>
              <w:autoSpaceDE w:val="0"/>
              <w:spacing w:line="360" w:lineRule="auto"/>
              <w:ind w:firstLine="481" w:firstLineChars="200"/>
              <w:rPr>
                <w:rFonts w:ascii="仿宋" w:hAnsi="仿宋" w:eastAsia="仿宋" w:cs="仿宋"/>
                <w:b/>
                <w:kern w:val="0"/>
                <w:sz w:val="24"/>
              </w:rPr>
            </w:pPr>
            <w:r>
              <w:rPr>
                <w:rFonts w:hint="eastAsia" w:ascii="仿宋" w:hAnsi="仿宋" w:eastAsia="仿宋" w:cs="仿宋"/>
                <w:b/>
                <w:kern w:val="0"/>
                <w:sz w:val="24"/>
                <w:lang w:bidi="ar"/>
              </w:rPr>
              <w:t>意见：降低第三方机构考核分值，增加主管部门考核分值，或者按照《经营服务管理办法》中“第六条【社会监督】 ，鼓励建立行业协会”的要求，由行业协会参加考核，进行过程监督或者分担部分考核内容。</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jc w:val="center"/>
              <w:rPr>
                <w:rFonts w:ascii="仿宋" w:hAnsi="仿宋" w:eastAsia="仿宋" w:cs="仿宋"/>
                <w:b/>
                <w:kern w:val="0"/>
                <w:sz w:val="24"/>
              </w:rPr>
            </w:pPr>
            <w:r>
              <w:rPr>
                <w:rFonts w:hint="eastAsia" w:ascii="仿宋" w:hAnsi="仿宋" w:eastAsia="仿宋" w:cs="仿宋"/>
                <w:kern w:val="0"/>
                <w:sz w:val="24"/>
                <w:lang w:bidi="ar"/>
              </w:rPr>
              <w:t>解释</w:t>
            </w:r>
          </w:p>
        </w:tc>
        <w:tc>
          <w:tcPr>
            <w:tcW w:w="4960" w:type="dxa"/>
            <w:tcBorders>
              <w:top w:val="single" w:color="auto" w:sz="4" w:space="0"/>
              <w:left w:val="nil"/>
              <w:bottom w:val="single" w:color="auto" w:sz="4" w:space="0"/>
              <w:right w:val="single" w:color="auto" w:sz="4" w:space="0"/>
            </w:tcBorders>
            <w:shd w:val="clear" w:color="auto" w:fill="auto"/>
            <w:vAlign w:val="center"/>
          </w:tcPr>
          <w:p>
            <w:pPr>
              <w:widowControl/>
              <w:autoSpaceDE w:val="0"/>
              <w:spacing w:line="360" w:lineRule="auto"/>
              <w:rPr>
                <w:rFonts w:ascii="仿宋" w:hAnsi="仿宋" w:eastAsia="仿宋" w:cs="仿宋"/>
                <w:kern w:val="0"/>
                <w:sz w:val="24"/>
              </w:rPr>
            </w:pPr>
            <w:r>
              <w:rPr>
                <w:rFonts w:hint="eastAsia" w:ascii="仿宋" w:hAnsi="仿宋" w:eastAsia="仿宋" w:cs="仿宋"/>
                <w:kern w:val="0"/>
                <w:sz w:val="24"/>
                <w:lang w:bidi="ar"/>
              </w:rPr>
              <w:t>参考我市公共交通等服务质量考核工作，均由第三方机构具体实施。同时综合考虑互联网租赁自行车“共管共治”管理模式，《考核细则》根据各职能部门职责负责相关指标考核工作，而第三方机构主要负责“公众满意度、车辆完好率、整洁度”等需大规模现场调查的考核指标。</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5E6A79"/>
    <w:multiLevelType w:val="multilevel"/>
    <w:tmpl w:val="F25E6A79"/>
    <w:lvl w:ilvl="0" w:tentative="0">
      <w:start w:val="1"/>
      <w:numFmt w:val="decimal"/>
      <w:lvlText w:val="%1"/>
      <w:lvlJc w:val="center"/>
      <w:pPr>
        <w:tabs>
          <w:tab w:val="left" w:pos="0"/>
        </w:tabs>
        <w:ind w:left="420" w:hanging="420"/>
      </w:pPr>
      <w:rPr>
        <w:rFonts w:hint="default" w:ascii="Times New Roman" w:hAnsi="Times New Roman" w:cs="Times New Roman"/>
      </w:rPr>
    </w:lvl>
    <w:lvl w:ilvl="1" w:tentative="0">
      <w:start w:val="1"/>
      <w:numFmt w:val="lowerLetter"/>
      <w:lvlText w:val="%2)"/>
      <w:lvlJc w:val="left"/>
      <w:pPr>
        <w:tabs>
          <w:tab w:val="left" w:pos="0"/>
        </w:tabs>
        <w:ind w:left="840" w:hanging="420"/>
      </w:pPr>
      <w:rPr>
        <w:rFonts w:hint="default" w:ascii="Times New Roman" w:hAnsi="Times New Roman" w:cs="Times New Roman"/>
      </w:rPr>
    </w:lvl>
    <w:lvl w:ilvl="2" w:tentative="0">
      <w:start w:val="1"/>
      <w:numFmt w:val="lowerRoman"/>
      <w:lvlText w:val="%3."/>
      <w:lvlJc w:val="right"/>
      <w:pPr>
        <w:tabs>
          <w:tab w:val="left" w:pos="0"/>
        </w:tabs>
        <w:ind w:left="1260" w:hanging="420"/>
      </w:pPr>
      <w:rPr>
        <w:rFonts w:hint="default" w:ascii="Times New Roman" w:hAnsi="Times New Roman" w:cs="Times New Roman"/>
      </w:rPr>
    </w:lvl>
    <w:lvl w:ilvl="3" w:tentative="0">
      <w:start w:val="1"/>
      <w:numFmt w:val="decimal"/>
      <w:lvlText w:val="%4."/>
      <w:lvlJc w:val="left"/>
      <w:pPr>
        <w:tabs>
          <w:tab w:val="left" w:pos="0"/>
        </w:tabs>
        <w:ind w:left="1680" w:hanging="420"/>
      </w:pPr>
      <w:rPr>
        <w:rFonts w:hint="default" w:ascii="Times New Roman" w:hAnsi="Times New Roman" w:cs="Times New Roman"/>
      </w:rPr>
    </w:lvl>
    <w:lvl w:ilvl="4" w:tentative="0">
      <w:start w:val="1"/>
      <w:numFmt w:val="lowerLetter"/>
      <w:lvlText w:val="%5)"/>
      <w:lvlJc w:val="left"/>
      <w:pPr>
        <w:tabs>
          <w:tab w:val="left" w:pos="0"/>
        </w:tabs>
        <w:ind w:left="2100" w:hanging="420"/>
      </w:pPr>
      <w:rPr>
        <w:rFonts w:hint="default" w:ascii="Times New Roman" w:hAnsi="Times New Roman" w:cs="Times New Roman"/>
      </w:rPr>
    </w:lvl>
    <w:lvl w:ilvl="5" w:tentative="0">
      <w:start w:val="1"/>
      <w:numFmt w:val="lowerRoman"/>
      <w:lvlText w:val="%6."/>
      <w:lvlJc w:val="right"/>
      <w:pPr>
        <w:tabs>
          <w:tab w:val="left" w:pos="0"/>
        </w:tabs>
        <w:ind w:left="2520" w:hanging="420"/>
      </w:pPr>
      <w:rPr>
        <w:rFonts w:hint="default" w:ascii="Times New Roman" w:hAnsi="Times New Roman" w:cs="Times New Roman"/>
      </w:rPr>
    </w:lvl>
    <w:lvl w:ilvl="6" w:tentative="0">
      <w:start w:val="1"/>
      <w:numFmt w:val="decimal"/>
      <w:lvlText w:val="%7."/>
      <w:lvlJc w:val="left"/>
      <w:pPr>
        <w:tabs>
          <w:tab w:val="left" w:pos="0"/>
        </w:tabs>
        <w:ind w:left="2940" w:hanging="420"/>
      </w:pPr>
      <w:rPr>
        <w:rFonts w:hint="default" w:ascii="Times New Roman" w:hAnsi="Times New Roman" w:cs="Times New Roman"/>
      </w:rPr>
    </w:lvl>
    <w:lvl w:ilvl="7" w:tentative="0">
      <w:start w:val="1"/>
      <w:numFmt w:val="lowerLetter"/>
      <w:lvlText w:val="%8)"/>
      <w:lvlJc w:val="left"/>
      <w:pPr>
        <w:tabs>
          <w:tab w:val="left" w:pos="0"/>
        </w:tabs>
        <w:ind w:left="3360" w:hanging="420"/>
      </w:pPr>
      <w:rPr>
        <w:rFonts w:hint="default" w:ascii="Times New Roman" w:hAnsi="Times New Roman" w:cs="Times New Roman"/>
      </w:rPr>
    </w:lvl>
    <w:lvl w:ilvl="8" w:tentative="0">
      <w:start w:val="1"/>
      <w:numFmt w:val="lowerRoman"/>
      <w:lvlText w:val="%9."/>
      <w:lvlJc w:val="right"/>
      <w:pPr>
        <w:tabs>
          <w:tab w:val="left" w:pos="0"/>
        </w:tabs>
        <w:ind w:left="3780" w:hanging="42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069B"/>
    <w:rsid w:val="00061792"/>
    <w:rsid w:val="00090CD2"/>
    <w:rsid w:val="0009520D"/>
    <w:rsid w:val="00172A27"/>
    <w:rsid w:val="001813E5"/>
    <w:rsid w:val="0021242B"/>
    <w:rsid w:val="002252D4"/>
    <w:rsid w:val="00250214"/>
    <w:rsid w:val="00262302"/>
    <w:rsid w:val="00305ABC"/>
    <w:rsid w:val="003205A3"/>
    <w:rsid w:val="00391760"/>
    <w:rsid w:val="003C0B56"/>
    <w:rsid w:val="003C2AD2"/>
    <w:rsid w:val="003C4A79"/>
    <w:rsid w:val="003C7A64"/>
    <w:rsid w:val="003D2336"/>
    <w:rsid w:val="003D6886"/>
    <w:rsid w:val="004343CD"/>
    <w:rsid w:val="00477AEC"/>
    <w:rsid w:val="004869A9"/>
    <w:rsid w:val="004B3CB3"/>
    <w:rsid w:val="004D4754"/>
    <w:rsid w:val="005354FF"/>
    <w:rsid w:val="005579CC"/>
    <w:rsid w:val="00574B4A"/>
    <w:rsid w:val="006F2389"/>
    <w:rsid w:val="00715929"/>
    <w:rsid w:val="00746F8A"/>
    <w:rsid w:val="007844BB"/>
    <w:rsid w:val="007A1226"/>
    <w:rsid w:val="007A1C9E"/>
    <w:rsid w:val="007E0E76"/>
    <w:rsid w:val="00816685"/>
    <w:rsid w:val="00867B57"/>
    <w:rsid w:val="008E4B60"/>
    <w:rsid w:val="00991F27"/>
    <w:rsid w:val="009F5169"/>
    <w:rsid w:val="00A25005"/>
    <w:rsid w:val="00AC56A8"/>
    <w:rsid w:val="00AD0CA0"/>
    <w:rsid w:val="00CD565B"/>
    <w:rsid w:val="00CF1CAF"/>
    <w:rsid w:val="00D05D90"/>
    <w:rsid w:val="00D234CD"/>
    <w:rsid w:val="00D70F8B"/>
    <w:rsid w:val="00DE6333"/>
    <w:rsid w:val="00E82242"/>
    <w:rsid w:val="00E97435"/>
    <w:rsid w:val="00EA578D"/>
    <w:rsid w:val="00EF29C3"/>
    <w:rsid w:val="00F86FD3"/>
    <w:rsid w:val="073737B3"/>
    <w:rsid w:val="1E3469CA"/>
    <w:rsid w:val="2A600678"/>
    <w:rsid w:val="2E700984"/>
    <w:rsid w:val="32124511"/>
    <w:rsid w:val="37F76C37"/>
    <w:rsid w:val="39052579"/>
    <w:rsid w:val="597F824F"/>
    <w:rsid w:val="5C0B37AF"/>
    <w:rsid w:val="5DEFE18B"/>
    <w:rsid w:val="5FF62F44"/>
    <w:rsid w:val="A7DB466E"/>
    <w:rsid w:val="DFFFDEBB"/>
    <w:rsid w:val="E3931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9"/>
    <w:pPr>
      <w:keepNext/>
      <w:keepLines/>
      <w:spacing w:beforeLines="100" w:afterLines="100"/>
      <w:outlineLvl w:val="0"/>
    </w:pPr>
    <w:rPr>
      <w:rFonts w:eastAsia="黑体"/>
      <w:kern w:val="44"/>
      <w:sz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annotation text"/>
    <w:basedOn w:val="1"/>
    <w:link w:val="16"/>
    <w:qFormat/>
    <w:uiPriority w:val="0"/>
    <w:pPr>
      <w:jc w:val="left"/>
    </w:pPr>
  </w:style>
  <w:style w:type="paragraph" w:styleId="5">
    <w:name w:val="Balloon Text"/>
    <w:basedOn w:val="1"/>
    <w:link w:val="18"/>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3"/>
    <w:qFormat/>
    <w:uiPriority w:val="0"/>
    <w:pPr>
      <w:spacing w:before="100" w:beforeAutospacing="1" w:after="100" w:afterAutospacing="1"/>
      <w:jc w:val="left"/>
    </w:pPr>
    <w:rPr>
      <w:kern w:val="0"/>
      <w:sz w:val="24"/>
    </w:rPr>
  </w:style>
  <w:style w:type="paragraph" w:styleId="9">
    <w:name w:val="annotation subject"/>
    <w:basedOn w:val="4"/>
    <w:next w:val="4"/>
    <w:link w:val="17"/>
    <w:qFormat/>
    <w:uiPriority w:val="0"/>
    <w:rPr>
      <w:b/>
      <w:bCs/>
    </w:rPr>
  </w:style>
  <w:style w:type="table" w:styleId="11">
    <w:name w:val="Table Grid"/>
    <w:basedOn w:val="10"/>
    <w:qFormat/>
    <w:uiPriority w:val="0"/>
    <w:pPr>
      <w:widowControl w:val="0"/>
      <w:jc w:val="both"/>
    </w:pPr>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3">
    <w:name w:val="annotation reference"/>
    <w:basedOn w:val="12"/>
    <w:qFormat/>
    <w:uiPriority w:val="0"/>
    <w:rPr>
      <w:sz w:val="21"/>
      <w:szCs w:val="21"/>
    </w:rPr>
  </w:style>
  <w:style w:type="character" w:customStyle="1" w:styleId="14">
    <w:name w:val="页眉 Char"/>
    <w:basedOn w:val="12"/>
    <w:link w:val="7"/>
    <w:qFormat/>
    <w:uiPriority w:val="0"/>
    <w:rPr>
      <w:rFonts w:asciiTheme="minorHAnsi" w:hAnsiTheme="minorHAnsi" w:eastAsiaTheme="minorEastAsia" w:cstheme="minorBidi"/>
      <w:kern w:val="2"/>
      <w:sz w:val="18"/>
      <w:szCs w:val="18"/>
    </w:rPr>
  </w:style>
  <w:style w:type="character" w:customStyle="1" w:styleId="15">
    <w:name w:val="页脚 Char"/>
    <w:basedOn w:val="12"/>
    <w:link w:val="6"/>
    <w:qFormat/>
    <w:uiPriority w:val="0"/>
    <w:rPr>
      <w:rFonts w:asciiTheme="minorHAnsi" w:hAnsiTheme="minorHAnsi" w:eastAsiaTheme="minorEastAsia" w:cstheme="minorBidi"/>
      <w:kern w:val="2"/>
      <w:sz w:val="18"/>
      <w:szCs w:val="18"/>
    </w:rPr>
  </w:style>
  <w:style w:type="character" w:customStyle="1" w:styleId="16">
    <w:name w:val="批注文字 Char"/>
    <w:basedOn w:val="12"/>
    <w:link w:val="4"/>
    <w:qFormat/>
    <w:uiPriority w:val="0"/>
    <w:rPr>
      <w:rFonts w:asciiTheme="minorHAnsi" w:hAnsiTheme="minorHAnsi" w:eastAsiaTheme="minorEastAsia" w:cstheme="minorBidi"/>
      <w:kern w:val="2"/>
      <w:sz w:val="21"/>
      <w:szCs w:val="24"/>
    </w:rPr>
  </w:style>
  <w:style w:type="character" w:customStyle="1" w:styleId="17">
    <w:name w:val="批注主题 Char"/>
    <w:basedOn w:val="16"/>
    <w:link w:val="9"/>
    <w:qFormat/>
    <w:uiPriority w:val="0"/>
    <w:rPr>
      <w:rFonts w:asciiTheme="minorHAnsi" w:hAnsiTheme="minorHAnsi" w:eastAsiaTheme="minorEastAsia" w:cstheme="minorBidi"/>
      <w:b/>
      <w:bCs/>
      <w:kern w:val="2"/>
      <w:sz w:val="21"/>
      <w:szCs w:val="24"/>
    </w:rPr>
  </w:style>
  <w:style w:type="character" w:customStyle="1" w:styleId="18">
    <w:name w:val="批注框文本 Char"/>
    <w:basedOn w:val="12"/>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882</Words>
  <Characters>5032</Characters>
  <Lines>41</Lines>
  <Paragraphs>11</Paragraphs>
  <TotalTime>10</TotalTime>
  <ScaleCrop>false</ScaleCrop>
  <LinksUpToDate>false</LinksUpToDate>
  <CharactersWithSpaces>5903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2022-03-22T19:00:00Z</dcterms:created>
  <dc:creator>叶＆紫</dc:creator>
  <cp:lastModifiedBy>kylin</cp:lastModifiedBy>
  <dcterms:modified xsi:type="dcterms:W3CDTF">2022-03-31T15:31:55Z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